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b/>
        </w:rPr>
      </w:pPr>
      <w:r>
        <w:rPr>
          <w:b/>
        </w:rPr>
        <w:t xml:space="preserve">PROCESO DE GESTIÓN DE FORMACIÓN PROFESIONAL INTEGRAL </w:t>
      </w:r>
    </w:p>
    <w:p>
      <w:pPr>
        <w:spacing w:after="0" w:line="360" w:lineRule="auto"/>
        <w:jc w:val="center"/>
        <w:rPr>
          <w:b/>
        </w:rPr>
      </w:pPr>
      <w:r>
        <w:rPr>
          <w:b/>
        </w:rPr>
        <w:t>FORMATO GUÍA DE APRENDIZAJE</w:t>
      </w:r>
    </w:p>
    <w:p>
      <w:pPr>
        <w:spacing w:after="0" w:line="360" w:lineRule="auto"/>
        <w:jc w:val="center"/>
        <w:rPr>
          <w:b/>
          <w:color w:val="FF0000"/>
        </w:rPr>
      </w:pPr>
      <w:r>
        <w:rPr>
          <w:b/>
        </w:rPr>
        <w:t>Ejercicio Derechos Fundamentales en el trabajo</w:t>
      </w:r>
    </w:p>
    <w:p>
      <w:pPr>
        <w:spacing w:after="0" w:line="360" w:lineRule="auto"/>
        <w:jc w:val="center"/>
        <w:rPr>
          <w:b/>
          <w:color w:val="FF0000"/>
        </w:rPr>
      </w:pPr>
    </w:p>
    <w:p>
      <w:pPr>
        <w:rPr>
          <w:b/>
          <w:color w:val="000000" w:themeColor="text1"/>
          <w14:textFill>
            <w14:solidFill>
              <w14:schemeClr w14:val="tx1"/>
            </w14:solidFill>
          </w14:textFill>
        </w:rPr>
      </w:pPr>
    </w:p>
    <w:p>
      <w:pPr>
        <w:jc w:val="both"/>
        <w:rPr>
          <w:rFonts w:ascii="Arial" w:hAnsi="Arial" w:cs="Arial"/>
          <w:b/>
          <w:sz w:val="20"/>
          <w:szCs w:val="20"/>
        </w:rPr>
      </w:pPr>
      <w:r>
        <w:rPr>
          <w:rFonts w:ascii="Arial" w:hAnsi="Arial" w:cs="Arial"/>
          <w:b/>
          <w:sz w:val="20"/>
          <w:szCs w:val="20"/>
        </w:rPr>
        <w:t>IDENTIFICACIÓN DE LA GUIA DE APRENDIZAJE</w:t>
      </w:r>
    </w:p>
    <w:p>
      <w:pPr>
        <w:jc w:val="both"/>
        <w:rPr>
          <w:rFonts w:ascii="Arial" w:hAnsi="Arial" w:cs="Arial"/>
          <w:sz w:val="20"/>
          <w:szCs w:val="20"/>
        </w:rPr>
      </w:pPr>
    </w:p>
    <w:p>
      <w:pPr>
        <w:pStyle w:val="30"/>
        <w:numPr>
          <w:ilvl w:val="0"/>
          <w:numId w:val="1"/>
        </w:numPr>
        <w:jc w:val="both"/>
        <w:rPr>
          <w:rFonts w:ascii="Arial" w:hAnsi="Arial" w:cs="Arial"/>
          <w:sz w:val="20"/>
          <w:szCs w:val="20"/>
        </w:rPr>
      </w:pPr>
      <w:r>
        <w:rPr>
          <w:rFonts w:ascii="Arial" w:hAnsi="Arial" w:cs="Arial"/>
          <w:sz w:val="20"/>
          <w:szCs w:val="20"/>
        </w:rPr>
        <w:t>Denominación del Programa de Formación:</w:t>
      </w:r>
      <w:r>
        <w:rPr>
          <w:color w:val="000000"/>
          <w:sz w:val="20"/>
          <w:szCs w:val="20"/>
        </w:rPr>
        <w:t xml:space="preserve"> : Ejercicio Derechos Fundamentales en el Trabajo</w:t>
      </w:r>
    </w:p>
    <w:p>
      <w:pPr>
        <w:pStyle w:val="30"/>
        <w:numPr>
          <w:ilvl w:val="0"/>
          <w:numId w:val="1"/>
        </w:numPr>
        <w:jc w:val="both"/>
        <w:rPr>
          <w:rFonts w:ascii="Arial" w:hAnsi="Arial" w:cs="Arial"/>
          <w:sz w:val="20"/>
          <w:szCs w:val="20"/>
        </w:rPr>
      </w:pPr>
      <w:r>
        <w:rPr>
          <w:rFonts w:ascii="Arial" w:hAnsi="Arial" w:cs="Arial"/>
          <w:sz w:val="20"/>
          <w:szCs w:val="20"/>
        </w:rPr>
        <w:t>Código del Programa de Formación:</w:t>
      </w:r>
      <w:r>
        <w:rPr>
          <w:color w:val="000000"/>
          <w:sz w:val="20"/>
          <w:szCs w:val="20"/>
        </w:rPr>
        <w:t xml:space="preserve"> 42110153 V2</w:t>
      </w:r>
    </w:p>
    <w:p>
      <w:pPr>
        <w:pStyle w:val="30"/>
        <w:numPr>
          <w:ilvl w:val="0"/>
          <w:numId w:val="1"/>
        </w:numPr>
        <w:jc w:val="both"/>
        <w:rPr>
          <w:rFonts w:ascii="Arial" w:hAnsi="Arial" w:cs="Arial"/>
          <w:sz w:val="20"/>
          <w:szCs w:val="20"/>
        </w:rPr>
      </w:pPr>
      <w:r>
        <w:rPr>
          <w:rFonts w:ascii="Arial" w:hAnsi="Arial" w:cs="Arial"/>
          <w:sz w:val="20"/>
          <w:szCs w:val="20"/>
        </w:rPr>
        <w:t>Nombre del Proyecto ( si es formación Titulada)</w:t>
      </w:r>
    </w:p>
    <w:p>
      <w:pPr>
        <w:pStyle w:val="30"/>
        <w:numPr>
          <w:ilvl w:val="0"/>
          <w:numId w:val="1"/>
        </w:numPr>
        <w:jc w:val="both"/>
        <w:rPr>
          <w:rFonts w:ascii="Arial" w:hAnsi="Arial" w:cs="Arial"/>
          <w:sz w:val="20"/>
          <w:szCs w:val="20"/>
        </w:rPr>
      </w:pPr>
      <w:r>
        <w:rPr>
          <w:rFonts w:ascii="Arial" w:hAnsi="Arial" w:cs="Arial"/>
          <w:sz w:val="20"/>
          <w:szCs w:val="20"/>
        </w:rPr>
        <w:t>Fase del Proyecto ( si es  formación Titulada)</w:t>
      </w:r>
    </w:p>
    <w:p>
      <w:pPr>
        <w:pStyle w:val="30"/>
        <w:numPr>
          <w:ilvl w:val="0"/>
          <w:numId w:val="1"/>
        </w:numPr>
        <w:jc w:val="both"/>
        <w:rPr>
          <w:rFonts w:ascii="Arial" w:hAnsi="Arial" w:cs="Arial"/>
          <w:sz w:val="20"/>
          <w:szCs w:val="20"/>
        </w:rPr>
      </w:pPr>
      <w:r>
        <w:rPr>
          <w:rFonts w:ascii="Arial" w:hAnsi="Arial" w:cs="Arial"/>
          <w:sz w:val="20"/>
          <w:szCs w:val="20"/>
        </w:rPr>
        <w:t>Actividad de Proyecto(si es  formación Titulada)</w:t>
      </w:r>
    </w:p>
    <w:p>
      <w:pPr>
        <w:pStyle w:val="30"/>
        <w:numPr>
          <w:ilvl w:val="0"/>
          <w:numId w:val="1"/>
        </w:numPr>
        <w:jc w:val="both"/>
        <w:rPr>
          <w:rFonts w:ascii="Arial" w:hAnsi="Arial" w:cs="Arial"/>
          <w:sz w:val="20"/>
          <w:szCs w:val="20"/>
        </w:rPr>
      </w:pPr>
      <w:r>
        <w:rPr>
          <w:rFonts w:ascii="Arial" w:hAnsi="Arial" w:cs="Arial"/>
          <w:sz w:val="20"/>
          <w:szCs w:val="20"/>
        </w:rPr>
        <w:t>Competencia:</w:t>
      </w:r>
      <w:r>
        <w:rPr>
          <w:color w:val="000000"/>
          <w:sz w:val="20"/>
          <w:szCs w:val="20"/>
        </w:rPr>
        <w:t xml:space="preserve"> 210201501 Ejercer Derechos fundamentales en el marco de la Constitución política y los convenios internacionales.</w:t>
      </w:r>
    </w:p>
    <w:p>
      <w:pPr>
        <w:pStyle w:val="30"/>
        <w:numPr>
          <w:ilvl w:val="0"/>
          <w:numId w:val="1"/>
        </w:numPr>
        <w:jc w:val="both"/>
        <w:rPr>
          <w:rFonts w:ascii="Arial" w:hAnsi="Arial" w:cs="Arial"/>
          <w:sz w:val="20"/>
          <w:szCs w:val="20"/>
        </w:rPr>
      </w:pPr>
      <w:r>
        <w:rPr>
          <w:rFonts w:ascii="Arial" w:hAnsi="Arial" w:cs="Arial"/>
          <w:sz w:val="20"/>
          <w:szCs w:val="20"/>
        </w:rPr>
        <w:t>Resultados de Aprendizaje Alcanzar:</w:t>
      </w:r>
      <w:r>
        <w:rPr>
          <w:sz w:val="20"/>
          <w:szCs w:val="20"/>
        </w:rPr>
        <w:t xml:space="preserve"> 21020150102 </w:t>
      </w:r>
      <w:r>
        <w:rPr>
          <w:color w:val="000000"/>
          <w:sz w:val="20"/>
          <w:szCs w:val="20"/>
        </w:rPr>
        <w:t>Valorar la importancia de la ciudadanía laboral con base en el estudio de los derechos humanos y fundamentales en el trabajo.</w:t>
      </w:r>
    </w:p>
    <w:p>
      <w:pPr>
        <w:pStyle w:val="30"/>
        <w:numPr>
          <w:ilvl w:val="0"/>
          <w:numId w:val="1"/>
        </w:numPr>
        <w:jc w:val="both"/>
        <w:rPr>
          <w:rFonts w:ascii="Arial" w:hAnsi="Arial" w:cs="Arial"/>
          <w:sz w:val="20"/>
          <w:szCs w:val="20"/>
        </w:rPr>
      </w:pPr>
      <w:r>
        <w:rPr>
          <w:rFonts w:ascii="Arial" w:hAnsi="Arial" w:cs="Arial"/>
          <w:sz w:val="20"/>
          <w:szCs w:val="20"/>
        </w:rPr>
        <w:t>Duración de la Guía:12 H</w:t>
      </w:r>
    </w:p>
    <w:p>
      <w:pPr>
        <w:ind w:left="360"/>
        <w:jc w:val="both"/>
        <w:rPr>
          <w:rFonts w:ascii="Arial" w:hAnsi="Arial" w:cs="Arial"/>
          <w:sz w:val="20"/>
          <w:szCs w:val="20"/>
        </w:rPr>
      </w:pPr>
    </w:p>
    <w:p>
      <w:pPr>
        <w:tabs>
          <w:tab w:val="left" w:pos="4320"/>
          <w:tab w:val="left" w:pos="4485"/>
          <w:tab w:val="left" w:pos="5445"/>
        </w:tabs>
        <w:jc w:val="both"/>
        <w:rPr>
          <w:rFonts w:ascii="Arial" w:hAnsi="Arial" w:cs="Arial"/>
          <w:b/>
          <w:sz w:val="20"/>
          <w:szCs w:val="20"/>
        </w:rPr>
      </w:pPr>
      <w:r>
        <w:rPr>
          <w:rFonts w:ascii="Arial" w:hAnsi="Arial" w:cs="Arial"/>
          <w:b/>
          <w:sz w:val="20"/>
          <w:szCs w:val="20"/>
        </w:rPr>
        <w:t>2. PRESENTACIÓN</w:t>
      </w:r>
    </w:p>
    <w:p>
      <w:pPr>
        <w:spacing w:after="0" w:line="240" w:lineRule="auto"/>
        <w:jc w:val="both"/>
        <w:rPr>
          <w:color w:val="000000"/>
          <w:sz w:val="20"/>
          <w:szCs w:val="20"/>
        </w:rPr>
      </w:pPr>
      <w:r>
        <w:rPr>
          <w:sz w:val="20"/>
          <w:szCs w:val="20"/>
        </w:rPr>
        <w:t xml:space="preserve">Apreciado aprendiz, de acuerdo con </w:t>
      </w:r>
      <w:r>
        <w:rPr>
          <w:color w:val="000000"/>
          <w:sz w:val="20"/>
          <w:szCs w:val="20"/>
        </w:rPr>
        <w:t>los Derechos Humanos, toda persona tiene derecho al </w:t>
      </w:r>
      <w:r>
        <w:rPr>
          <w:i/>
          <w:color w:val="000000"/>
          <w:sz w:val="20"/>
          <w:szCs w:val="20"/>
        </w:rPr>
        <w:t>trabajo</w:t>
      </w:r>
      <w:r>
        <w:rPr>
          <w:color w:val="000000"/>
          <w:sz w:val="20"/>
          <w:szCs w:val="20"/>
        </w:rPr>
        <w:t xml:space="preserve">, en condiciones laborales justas, sin embargo, estos derechos no siempre se garantizan. </w:t>
      </w:r>
    </w:p>
    <w:p>
      <w:pPr>
        <w:spacing w:after="0" w:line="240" w:lineRule="auto"/>
        <w:jc w:val="both"/>
        <w:rPr>
          <w:color w:val="000000"/>
          <w:sz w:val="20"/>
          <w:szCs w:val="20"/>
        </w:rPr>
      </w:pPr>
    </w:p>
    <w:p>
      <w:pPr>
        <w:spacing w:after="0" w:line="240" w:lineRule="auto"/>
        <w:jc w:val="both"/>
        <w:rPr>
          <w:color w:val="000000"/>
          <w:sz w:val="20"/>
          <w:szCs w:val="20"/>
        </w:rPr>
      </w:pPr>
      <w:r>
        <w:rPr>
          <w:color w:val="000000"/>
          <w:sz w:val="20"/>
          <w:szCs w:val="20"/>
        </w:rPr>
        <w:t>Los Derechos Humanos vinculados al trabajo y a los trabajadores son denominados “Derechos Humanos Laborales”, y entre ellos se encuentran comprendidos los “Derechos Fundamentales en el Trabajo” consagrados por la Organización Internacional del Trabajo.</w:t>
      </w:r>
    </w:p>
    <w:p>
      <w:pPr>
        <w:spacing w:after="0" w:line="240" w:lineRule="auto"/>
        <w:jc w:val="both"/>
        <w:rPr>
          <w:sz w:val="20"/>
          <w:szCs w:val="20"/>
        </w:rPr>
      </w:pPr>
    </w:p>
    <w:p>
      <w:pPr>
        <w:spacing w:after="0" w:line="240" w:lineRule="auto"/>
        <w:jc w:val="both"/>
        <w:rPr>
          <w:color w:val="000000"/>
          <w:sz w:val="20"/>
          <w:szCs w:val="20"/>
        </w:rPr>
      </w:pPr>
      <w:r>
        <w:rPr>
          <w:color w:val="000000"/>
          <w:sz w:val="20"/>
          <w:szCs w:val="20"/>
        </w:rPr>
        <w:t>Con el presente proceso de aprendizaje, se espera desarrollar una actitud de defensa y de hacer respetar los derechos de los trabajadores, como expresión de una conciencia colectiva que conlleve al ejercicio pleno de la Ciudadanía Laboral.</w:t>
      </w:r>
    </w:p>
    <w:p>
      <w:pPr>
        <w:spacing w:after="0" w:line="240" w:lineRule="auto"/>
        <w:jc w:val="both"/>
        <w:rPr>
          <w:color w:val="000000"/>
          <w:sz w:val="20"/>
          <w:szCs w:val="20"/>
        </w:rPr>
      </w:pPr>
    </w:p>
    <w:p>
      <w:pPr>
        <w:spacing w:after="0" w:line="240" w:lineRule="auto"/>
        <w:jc w:val="both"/>
        <w:rPr>
          <w:sz w:val="20"/>
          <w:szCs w:val="20"/>
        </w:rPr>
      </w:pPr>
      <w:r>
        <w:rPr>
          <w:color w:val="000000"/>
          <w:sz w:val="20"/>
          <w:szCs w:val="20"/>
        </w:rPr>
        <w:t xml:space="preserve">En el proceso referido al mundo laboral es importante la apropiación y el ejercicio de los derechos y deberes que tenemos como ciudadanos, por tal razón </w:t>
      </w:r>
      <w:r>
        <w:rPr>
          <w:sz w:val="20"/>
          <w:szCs w:val="20"/>
        </w:rPr>
        <w:t>serán orientados por sus instructores mediante el desarrollo de diferentes actividades pedagógicas.</w:t>
      </w:r>
    </w:p>
    <w:p>
      <w:pPr>
        <w:tabs>
          <w:tab w:val="left" w:pos="4320"/>
          <w:tab w:val="left" w:pos="4485"/>
          <w:tab w:val="left" w:pos="5445"/>
        </w:tabs>
        <w:spacing w:line="240" w:lineRule="auto"/>
        <w:jc w:val="both"/>
        <w:rPr>
          <w:rFonts w:ascii="Arial" w:hAnsi="Arial" w:cs="Arial"/>
          <w:i/>
          <w:sz w:val="20"/>
          <w:szCs w:val="20"/>
          <w:lang w:val="es-MX"/>
        </w:rPr>
      </w:pPr>
    </w:p>
    <w:p>
      <w:pPr>
        <w:tabs>
          <w:tab w:val="left" w:pos="4320"/>
          <w:tab w:val="left" w:pos="4485"/>
          <w:tab w:val="left" w:pos="5445"/>
        </w:tabs>
        <w:spacing w:line="240" w:lineRule="auto"/>
        <w:jc w:val="both"/>
        <w:rPr>
          <w:rFonts w:ascii="Arial" w:hAnsi="Arial" w:cs="Arial"/>
          <w:i/>
          <w:sz w:val="20"/>
          <w:szCs w:val="20"/>
          <w:lang w:val="es-MX"/>
        </w:rPr>
      </w:pPr>
    </w:p>
    <w:p>
      <w:pPr>
        <w:tabs>
          <w:tab w:val="left" w:pos="4320"/>
          <w:tab w:val="left" w:pos="4485"/>
          <w:tab w:val="left" w:pos="5445"/>
        </w:tabs>
        <w:jc w:val="both"/>
        <w:rPr>
          <w:rFonts w:ascii="Arial" w:hAnsi="Arial" w:cs="Arial"/>
          <w:b/>
          <w:sz w:val="20"/>
          <w:szCs w:val="20"/>
          <w:lang w:val="es-MX"/>
        </w:rPr>
      </w:pPr>
      <w:r>
        <w:rPr>
          <w:rFonts w:ascii="Arial" w:hAnsi="Arial" w:cs="Arial"/>
          <w:b/>
          <w:sz w:val="20"/>
          <w:szCs w:val="20"/>
          <w:lang w:val="es-MX"/>
        </w:rPr>
        <w:t>3.  FORMULACIÓN DE LAS ACTIVIDADES DE APRENDIZAJE</w:t>
      </w:r>
    </w:p>
    <w:p>
      <w:pPr>
        <w:numPr>
          <w:ilvl w:val="0"/>
          <w:numId w:val="2"/>
        </w:numPr>
        <w:spacing w:after="0" w:line="240" w:lineRule="auto"/>
        <w:jc w:val="both"/>
        <w:rPr>
          <w:b/>
          <w:sz w:val="20"/>
          <w:szCs w:val="20"/>
        </w:rPr>
      </w:pPr>
      <w:r>
        <w:rPr>
          <w:b/>
          <w:sz w:val="20"/>
          <w:szCs w:val="20"/>
        </w:rPr>
        <w:t>El Trabajo Decente</w:t>
      </w:r>
      <w:r>
        <w:rPr>
          <w:b/>
          <w:sz w:val="20"/>
          <w:szCs w:val="20"/>
          <w:u w:val="single"/>
        </w:rPr>
        <w:t xml:space="preserve"> </w:t>
      </w: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u w:val="single"/>
        </w:rPr>
      </w:pPr>
    </w:p>
    <w:p>
      <w:pPr>
        <w:spacing w:after="0" w:line="240" w:lineRule="auto"/>
        <w:jc w:val="both"/>
        <w:rPr>
          <w:b/>
          <w:sz w:val="20"/>
          <w:szCs w:val="20"/>
        </w:rPr>
      </w:pPr>
      <w:r>
        <w:rPr>
          <w:sz w:val="20"/>
          <w:szCs w:val="20"/>
        </w:rPr>
        <w:drawing>
          <wp:inline distT="0" distB="0" distL="114300" distR="114300">
            <wp:extent cx="6000750" cy="2009775"/>
            <wp:effectExtent l="0" t="0" r="0" b="9525"/>
            <wp:docPr id="6" name="image5.png"/>
            <wp:cNvGraphicFramePr/>
            <a:graphic xmlns:a="http://schemas.openxmlformats.org/drawingml/2006/main">
              <a:graphicData uri="http://schemas.openxmlformats.org/drawingml/2006/picture">
                <pic:pic xmlns:pic="http://schemas.openxmlformats.org/drawingml/2006/picture">
                  <pic:nvPicPr>
                    <pic:cNvPr id="6" name="image5.png"/>
                    <pic:cNvPicPr preferRelativeResize="0"/>
                  </pic:nvPicPr>
                  <pic:blipFill>
                    <a:blip r:embed="rId9"/>
                    <a:srcRect/>
                    <a:stretch>
                      <a:fillRect/>
                    </a:stretch>
                  </pic:blipFill>
                  <pic:spPr>
                    <a:xfrm>
                      <a:off x="0" y="0"/>
                      <a:ext cx="6000750" cy="2009775"/>
                    </a:xfrm>
                    <a:prstGeom prst="rect">
                      <a:avLst/>
                    </a:prstGeom>
                  </pic:spPr>
                </pic:pic>
              </a:graphicData>
            </a:graphic>
          </wp:inline>
        </w:drawing>
      </w:r>
    </w:p>
    <w:p>
      <w:pPr>
        <w:spacing w:after="0" w:line="240" w:lineRule="auto"/>
        <w:jc w:val="right"/>
        <w:rPr>
          <w:b/>
          <w:sz w:val="20"/>
          <w:szCs w:val="20"/>
          <w:u w:val="single"/>
        </w:rPr>
      </w:pPr>
      <w:r>
        <w:rPr>
          <w:sz w:val="20"/>
          <w:szCs w:val="20"/>
        </w:rPr>
        <w:t>Tomado de” Principios relativos a los derechos fundamentales” OIT- Junio 2010</w:t>
      </w:r>
    </w:p>
    <w:p>
      <w:pPr>
        <w:spacing w:after="0" w:line="240" w:lineRule="auto"/>
        <w:jc w:val="both"/>
        <w:rPr>
          <w:sz w:val="20"/>
          <w:szCs w:val="20"/>
        </w:rPr>
      </w:pPr>
    </w:p>
    <w:p>
      <w:pPr>
        <w:spacing w:after="0" w:line="240" w:lineRule="auto"/>
        <w:jc w:val="both"/>
        <w:rPr>
          <w:sz w:val="20"/>
          <w:szCs w:val="20"/>
        </w:rPr>
      </w:pPr>
      <w:r>
        <w:rPr>
          <w:sz w:val="20"/>
          <w:szCs w:val="20"/>
        </w:rPr>
        <w:t>Organizado en grupo de trabajo, haga lectura de los documentos “</w:t>
      </w:r>
      <w:r>
        <w:rPr>
          <w:sz w:val="20"/>
          <w:szCs w:val="20"/>
          <w:u w:val="single"/>
        </w:rPr>
        <w:t>Qué es trabajo decente y Trabajo digno y decente</w:t>
      </w:r>
      <w:r>
        <w:rPr>
          <w:sz w:val="20"/>
          <w:szCs w:val="20"/>
        </w:rPr>
        <w:t>”, observe la presentación del video “</w:t>
      </w:r>
      <w:r>
        <w:rPr>
          <w:sz w:val="20"/>
          <w:szCs w:val="20"/>
          <w:u w:val="single"/>
        </w:rPr>
        <w:t>Trabajo Decente - OIT</w:t>
      </w:r>
      <w:r>
        <w:rPr>
          <w:sz w:val="20"/>
          <w:szCs w:val="20"/>
        </w:rPr>
        <w:t>”, e identifique las ideas centrales, para resolver en plenaria las siguientes inquietudes:</w:t>
      </w:r>
    </w:p>
    <w:p>
      <w:pPr>
        <w:spacing w:after="0" w:line="240" w:lineRule="auto"/>
        <w:jc w:val="both"/>
        <w:rPr>
          <w:i/>
          <w:sz w:val="20"/>
          <w:szCs w:val="20"/>
        </w:rPr>
      </w:pPr>
      <w:r>
        <w:rPr>
          <w:i/>
          <w:sz w:val="20"/>
          <w:szCs w:val="20"/>
        </w:rPr>
        <w:t>¿Qué es trabajo decente?</w:t>
      </w:r>
      <w:r>
        <w:drawing>
          <wp:anchor distT="0" distB="0" distL="114300" distR="114300" simplePos="0" relativeHeight="251660288" behindDoc="1" locked="0" layoutInCell="1" allowOverlap="1">
            <wp:simplePos x="0" y="0"/>
            <wp:positionH relativeFrom="column">
              <wp:posOffset>10160</wp:posOffset>
            </wp:positionH>
            <wp:positionV relativeFrom="paragraph">
              <wp:posOffset>74295</wp:posOffset>
            </wp:positionV>
            <wp:extent cx="1364615" cy="1360805"/>
            <wp:effectExtent l="0" t="0" r="6985" b="10795"/>
            <wp:wrapTight wrapText="bothSides">
              <wp:wrapPolygon>
                <wp:start x="0" y="0"/>
                <wp:lineTo x="0" y="21167"/>
                <wp:lineTo x="21409" y="21167"/>
                <wp:lineTo x="21409" y="0"/>
                <wp:lineTo x="0" y="0"/>
              </wp:wrapPolygon>
            </wp:wrapTight>
            <wp:docPr id="4" name="image3.jpg"/>
            <wp:cNvGraphicFramePr/>
            <a:graphic xmlns:a="http://schemas.openxmlformats.org/drawingml/2006/main">
              <a:graphicData uri="http://schemas.openxmlformats.org/drawingml/2006/picture">
                <pic:pic xmlns:pic="http://schemas.openxmlformats.org/drawingml/2006/picture">
                  <pic:nvPicPr>
                    <pic:cNvPr id="4" name="image3.jpg"/>
                    <pic:cNvPicPr preferRelativeResize="0"/>
                  </pic:nvPicPr>
                  <pic:blipFill>
                    <a:blip r:embed="rId10"/>
                    <a:srcRect/>
                    <a:stretch>
                      <a:fillRect/>
                    </a:stretch>
                  </pic:blipFill>
                  <pic:spPr>
                    <a:xfrm>
                      <a:off x="0" y="0"/>
                      <a:ext cx="1364400" cy="1360800"/>
                    </a:xfrm>
                    <a:prstGeom prst="rect">
                      <a:avLst/>
                    </a:prstGeom>
                  </pic:spPr>
                </pic:pic>
              </a:graphicData>
            </a:graphic>
          </wp:anchor>
        </w:drawing>
      </w:r>
    </w:p>
    <w:p>
      <w:pPr>
        <w:spacing w:after="0" w:line="240" w:lineRule="auto"/>
        <w:jc w:val="both"/>
        <w:rPr>
          <w:i/>
          <w:sz w:val="20"/>
          <w:szCs w:val="20"/>
        </w:rPr>
      </w:pPr>
      <w:r>
        <w:rPr>
          <w:i/>
          <w:sz w:val="20"/>
          <w:szCs w:val="20"/>
        </w:rPr>
        <w:t>¿Cuáles son los principios del trabajo decente?</w:t>
      </w:r>
    </w:p>
    <w:p>
      <w:pPr>
        <w:spacing w:after="0" w:line="240" w:lineRule="auto"/>
        <w:jc w:val="both"/>
        <w:rPr>
          <w:i/>
          <w:sz w:val="20"/>
          <w:szCs w:val="20"/>
        </w:rPr>
      </w:pPr>
      <w:r>
        <w:rPr>
          <w:i/>
          <w:sz w:val="20"/>
          <w:szCs w:val="20"/>
        </w:rPr>
        <w:t>¿Cómo definiría trabajo digno?</w:t>
      </w:r>
    </w:p>
    <w:p>
      <w:pPr>
        <w:spacing w:after="0" w:line="240" w:lineRule="auto"/>
        <w:jc w:val="both"/>
        <w:rPr>
          <w:i/>
          <w:sz w:val="20"/>
          <w:szCs w:val="20"/>
        </w:rPr>
      </w:pPr>
      <w:r>
        <w:rPr>
          <w:i/>
          <w:sz w:val="20"/>
          <w:szCs w:val="20"/>
        </w:rPr>
        <w:t>¿Por qué hablar de trabajo digno más allá de la noción de trabajo decente?</w:t>
      </w:r>
    </w:p>
    <w:p>
      <w:pPr>
        <w:spacing w:after="0" w:line="240" w:lineRule="auto"/>
        <w:jc w:val="both"/>
        <w:rPr>
          <w:i/>
          <w:sz w:val="20"/>
          <w:szCs w:val="20"/>
        </w:rPr>
      </w:pPr>
      <w:r>
        <w:rPr>
          <w:i/>
          <w:sz w:val="20"/>
          <w:szCs w:val="20"/>
        </w:rPr>
        <w:t xml:space="preserve">¿Cómo influye la falta de trabajo con la pobreza, la violencia y la falta de desarrollo? Explique su respuesta. </w:t>
      </w:r>
    </w:p>
    <w:p>
      <w:pPr>
        <w:spacing w:after="0" w:line="240" w:lineRule="auto"/>
        <w:jc w:val="both"/>
        <w:rPr>
          <w:b/>
          <w:color w:val="000000"/>
          <w:sz w:val="20"/>
          <w:szCs w:val="20"/>
          <w:u w:val="single"/>
        </w:rPr>
      </w:pPr>
      <w:r>
        <w:drawing>
          <wp:anchor distT="0" distB="0" distL="114300" distR="114300" simplePos="0" relativeHeight="251661312" behindDoc="0" locked="0" layoutInCell="1" allowOverlap="1">
            <wp:simplePos x="0" y="0"/>
            <wp:positionH relativeFrom="column">
              <wp:posOffset>2733675</wp:posOffset>
            </wp:positionH>
            <wp:positionV relativeFrom="paragraph">
              <wp:posOffset>601980</wp:posOffset>
            </wp:positionV>
            <wp:extent cx="1866900" cy="1790700"/>
            <wp:effectExtent l="0" t="0" r="0" b="0"/>
            <wp:wrapSquare wrapText="bothSides"/>
            <wp:docPr id="3" name="image1.jpg"/>
            <wp:cNvGraphicFramePr/>
            <a:graphic xmlns:a="http://schemas.openxmlformats.org/drawingml/2006/main">
              <a:graphicData uri="http://schemas.openxmlformats.org/drawingml/2006/picture">
                <pic:pic xmlns:pic="http://schemas.openxmlformats.org/drawingml/2006/picture">
                  <pic:nvPicPr>
                    <pic:cNvPr id="3" name="image1.jpg"/>
                    <pic:cNvPicPr preferRelativeResize="0"/>
                  </pic:nvPicPr>
                  <pic:blipFill>
                    <a:blip r:embed="rId11"/>
                    <a:srcRect/>
                    <a:stretch>
                      <a:fillRect/>
                    </a:stretch>
                  </pic:blipFill>
                  <pic:spPr>
                    <a:xfrm>
                      <a:off x="0" y="0"/>
                      <a:ext cx="1866900" cy="1790700"/>
                    </a:xfrm>
                    <a:prstGeom prst="rect">
                      <a:avLst/>
                    </a:prstGeom>
                  </pic:spPr>
                </pic:pic>
              </a:graphicData>
            </a:graphic>
          </wp:anchor>
        </w:drawing>
      </w:r>
      <w:r>
        <w:rPr>
          <w:color w:val="000000"/>
          <w:sz w:val="20"/>
          <w:szCs w:val="20"/>
        </w:rPr>
        <w:t xml:space="preserve">Con la información de amigos, familiares y otros, describa en un texto algunos casos de personas que “trabajan” en condiciones inadecuadas porque no corresponden a un trabajo decente, y envíelo en formato digital al instructor de acuerdo a sus indicaciones. </w:t>
      </w:r>
    </w:p>
    <w:p>
      <w:pPr>
        <w:tabs>
          <w:tab w:val="left" w:pos="4320"/>
          <w:tab w:val="left" w:pos="4485"/>
          <w:tab w:val="left" w:pos="5445"/>
        </w:tabs>
        <w:spacing w:after="0" w:line="240" w:lineRule="auto"/>
        <w:jc w:val="both"/>
        <w:rPr>
          <w:b/>
          <w:sz w:val="20"/>
          <w:szCs w:val="20"/>
        </w:rPr>
      </w:pPr>
    </w:p>
    <w:p>
      <w:pPr>
        <w:pStyle w:val="30"/>
        <w:numPr>
          <w:ilvl w:val="0"/>
          <w:numId w:val="3"/>
        </w:numPr>
        <w:tabs>
          <w:tab w:val="left" w:pos="4320"/>
          <w:tab w:val="left" w:pos="4485"/>
          <w:tab w:val="left" w:pos="5445"/>
        </w:tabs>
        <w:jc w:val="both"/>
        <w:rPr>
          <w:b/>
          <w:sz w:val="20"/>
          <w:szCs w:val="20"/>
        </w:rPr>
      </w:pPr>
      <w:r>
        <w:rPr>
          <w:b/>
          <w:sz w:val="20"/>
          <w:szCs w:val="20"/>
        </w:rPr>
        <w:t>Ciudadanía Laboral</w:t>
      </w:r>
    </w:p>
    <w:p>
      <w:pPr>
        <w:jc w:val="both"/>
        <w:rPr>
          <w:sz w:val="20"/>
          <w:szCs w:val="20"/>
        </w:rPr>
      </w:pPr>
      <w:r>
        <w:rPr>
          <w:sz w:val="20"/>
          <w:szCs w:val="20"/>
        </w:rPr>
        <w:t xml:space="preserve">Con el grupo de trabajo realiza un análisis del siguiente párrafo sobre Ciudadanía y resuelvan las preguntas: </w:t>
      </w:r>
    </w:p>
    <w:p>
      <w:p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111111"/>
          <w:sz w:val="20"/>
          <w:szCs w:val="20"/>
          <w:highlight w:val="white"/>
        </w:rPr>
      </w:pPr>
      <w:r>
        <w:rPr>
          <w:i/>
          <w:color w:val="111111"/>
          <w:sz w:val="20"/>
          <w:szCs w:val="20"/>
        </w:rPr>
        <w:t>“El ciudadano es un ser político, con una dimensión social y moral; lo cual indica que la construcción de la ciudadanía no es el aprendizaje mecánico de unas normas (jurídicas, legales y políticas), sino la realización efectiva de una forma de vida y de convivencia entre los seres humanos en sociedad”. (</w:t>
      </w:r>
      <w:r>
        <w:rPr>
          <w:color w:val="111111"/>
          <w:sz w:val="20"/>
          <w:szCs w:val="20"/>
          <w:highlight w:val="white"/>
        </w:rPr>
        <w:t>Giraldo-Zuluaga, G. A. (2015). Ciudadanía: aprendizaje de una forma de vida. Educ. Educ. Vol. 18, No. 1, 76-92. DOI: 10.5294/edu.2015.18.5)</w:t>
      </w:r>
    </w:p>
    <w:p>
      <w:pPr>
        <w:pBdr>
          <w:top w:val="none" w:color="auto" w:sz="0" w:space="0"/>
          <w:left w:val="none" w:color="auto" w:sz="0" w:space="0"/>
          <w:bottom w:val="none" w:color="auto" w:sz="0" w:space="0"/>
          <w:right w:val="none" w:color="auto" w:sz="0" w:space="0"/>
          <w:between w:val="none" w:color="auto" w:sz="0" w:space="0"/>
        </w:pBdr>
        <w:spacing w:after="0" w:line="240" w:lineRule="auto"/>
        <w:rPr>
          <w:color w:val="111111"/>
          <w:sz w:val="20"/>
          <w:szCs w:val="20"/>
          <w:highlight w:val="white"/>
        </w:rPr>
      </w:pPr>
    </w:p>
    <w:p>
      <w:pPr>
        <w:spacing w:after="0"/>
        <w:ind w:left="3540"/>
        <w:jc w:val="both"/>
        <w:rPr>
          <w:i/>
          <w:sz w:val="20"/>
          <w:szCs w:val="20"/>
        </w:rPr>
      </w:pPr>
      <w:r>
        <w:drawing>
          <wp:anchor distT="0" distB="0" distL="114300" distR="114300" simplePos="0" relativeHeight="251662336" behindDoc="1" locked="0" layoutInCell="1" allowOverlap="1">
            <wp:simplePos x="0" y="0"/>
            <wp:positionH relativeFrom="column">
              <wp:posOffset>-37465</wp:posOffset>
            </wp:positionH>
            <wp:positionV relativeFrom="paragraph">
              <wp:posOffset>111125</wp:posOffset>
            </wp:positionV>
            <wp:extent cx="2563495" cy="2037715"/>
            <wp:effectExtent l="0" t="0" r="8255" b="635"/>
            <wp:wrapTight wrapText="bothSides">
              <wp:wrapPolygon>
                <wp:start x="0" y="0"/>
                <wp:lineTo x="0" y="21405"/>
                <wp:lineTo x="21509" y="21405"/>
                <wp:lineTo x="21509" y="0"/>
                <wp:lineTo x="0" y="0"/>
              </wp:wrapPolygon>
            </wp:wrapTight>
            <wp:docPr id="1" name="image8.jpg"/>
            <wp:cNvGraphicFramePr/>
            <a:graphic xmlns:a="http://schemas.openxmlformats.org/drawingml/2006/main">
              <a:graphicData uri="http://schemas.openxmlformats.org/drawingml/2006/picture">
                <pic:pic xmlns:pic="http://schemas.openxmlformats.org/drawingml/2006/picture">
                  <pic:nvPicPr>
                    <pic:cNvPr id="1" name="image8.jpg"/>
                    <pic:cNvPicPr preferRelativeResize="0"/>
                  </pic:nvPicPr>
                  <pic:blipFill>
                    <a:blip r:embed="rId12"/>
                    <a:srcRect/>
                    <a:stretch>
                      <a:fillRect/>
                    </a:stretch>
                  </pic:blipFill>
                  <pic:spPr>
                    <a:xfrm>
                      <a:off x="0" y="0"/>
                      <a:ext cx="2563200" cy="2037600"/>
                    </a:xfrm>
                    <a:prstGeom prst="rect">
                      <a:avLst/>
                    </a:prstGeom>
                  </pic:spPr>
                </pic:pic>
              </a:graphicData>
            </a:graphic>
          </wp:anchor>
        </w:drawing>
      </w:r>
      <w:r>
        <w:rPr>
          <w:i/>
          <w:sz w:val="20"/>
          <w:szCs w:val="20"/>
        </w:rPr>
        <w:t>¿P</w:t>
      </w:r>
    </w:p>
    <w:p>
      <w:pPr>
        <w:spacing w:after="0"/>
        <w:ind w:left="3540"/>
        <w:jc w:val="both"/>
        <w:rPr>
          <w:i/>
          <w:sz w:val="20"/>
          <w:szCs w:val="20"/>
        </w:rPr>
      </w:pPr>
      <w:r>
        <w:rPr>
          <w:i/>
          <w:sz w:val="20"/>
          <w:szCs w:val="20"/>
        </w:rPr>
        <w:t>ara usted cuál es el significado de este párrafo?</w:t>
      </w:r>
    </w:p>
    <w:p>
      <w:pPr>
        <w:spacing w:after="0"/>
        <w:jc w:val="both"/>
        <w:rPr>
          <w:i/>
          <w:sz w:val="20"/>
          <w:szCs w:val="20"/>
        </w:rPr>
      </w:pPr>
      <w:r>
        <w:rPr>
          <w:i/>
          <w:sz w:val="20"/>
          <w:szCs w:val="20"/>
        </w:rPr>
        <w:t>¿Cómo se relaciona la ciudadanía con las habilidades para la vida?</w:t>
      </w:r>
    </w:p>
    <w:p>
      <w:pPr>
        <w:jc w:val="both"/>
        <w:rPr>
          <w:i/>
          <w:sz w:val="20"/>
          <w:szCs w:val="20"/>
        </w:rPr>
      </w:pPr>
      <w:r>
        <w:rPr>
          <w:i/>
          <w:sz w:val="20"/>
          <w:szCs w:val="20"/>
        </w:rPr>
        <w:t>¿Cómo se puede vincular el concepto de ciudadanía con el proceso de paz en Colombia?</w:t>
      </w:r>
    </w:p>
    <w:p>
      <w:pPr>
        <w:jc w:val="both"/>
        <w:rPr>
          <w:color w:val="000000"/>
          <w:sz w:val="20"/>
          <w:szCs w:val="20"/>
          <w:highlight w:val="cyan"/>
        </w:rPr>
      </w:pPr>
      <w:r>
        <w:rPr>
          <w:color w:val="000000"/>
          <w:sz w:val="20"/>
          <w:szCs w:val="20"/>
        </w:rPr>
        <w:t>Realiza en grupo la lectura del documento “</w:t>
      </w:r>
      <w:r>
        <w:rPr>
          <w:color w:val="000000"/>
          <w:sz w:val="20"/>
          <w:szCs w:val="20"/>
          <w:u w:val="single"/>
        </w:rPr>
        <w:t>Ciudadanía laboral</w:t>
      </w:r>
      <w:r>
        <w:rPr>
          <w:color w:val="000000"/>
          <w:sz w:val="20"/>
          <w:szCs w:val="20"/>
        </w:rPr>
        <w:t>” y</w:t>
      </w:r>
      <w:r>
        <w:rPr>
          <w:sz w:val="20"/>
          <w:szCs w:val="20"/>
        </w:rPr>
        <w:t xml:space="preserve"> </w:t>
      </w:r>
      <w:r>
        <w:rPr>
          <w:color w:val="000000"/>
          <w:sz w:val="20"/>
          <w:szCs w:val="20"/>
        </w:rPr>
        <w:t>observa el video: “</w:t>
      </w:r>
      <w:r>
        <w:rPr>
          <w:color w:val="000000"/>
          <w:sz w:val="20"/>
          <w:szCs w:val="20"/>
          <w:u w:val="single"/>
        </w:rPr>
        <w:t xml:space="preserve">Trabajo </w:t>
      </w:r>
      <w:r>
        <w:rPr>
          <w:sz w:val="20"/>
          <w:szCs w:val="20"/>
          <w:u w:val="single"/>
        </w:rPr>
        <w:t>y Ciudadanía</w:t>
      </w:r>
      <w:r>
        <w:rPr>
          <w:color w:val="000000"/>
          <w:sz w:val="20"/>
          <w:szCs w:val="20"/>
        </w:rPr>
        <w:t xml:space="preserve">”, para resolver las siguientes preguntas en la plenaria: </w:t>
      </w:r>
    </w:p>
    <w:p>
      <w:pPr>
        <w:spacing w:after="0" w:line="240" w:lineRule="auto"/>
        <w:jc w:val="both"/>
        <w:rPr>
          <w:i/>
          <w:sz w:val="20"/>
          <w:szCs w:val="20"/>
        </w:rPr>
      </w:pPr>
      <w:r>
        <w:rPr>
          <w:i/>
          <w:sz w:val="20"/>
          <w:szCs w:val="20"/>
        </w:rPr>
        <w:t>¿Qué se entiende por ciudadanía laboral?</w:t>
      </w:r>
    </w:p>
    <w:p>
      <w:pPr>
        <w:spacing w:after="0" w:line="240" w:lineRule="auto"/>
        <w:jc w:val="both"/>
        <w:rPr>
          <w:i/>
          <w:sz w:val="20"/>
          <w:szCs w:val="20"/>
        </w:rPr>
      </w:pPr>
      <w:r>
        <w:rPr>
          <w:i/>
          <w:sz w:val="20"/>
          <w:szCs w:val="20"/>
        </w:rPr>
        <w:t>¿Cuál es el rol de las organizaciones de trabajadores en el ejercicio de la ciudadanía laboral?</w:t>
      </w:r>
    </w:p>
    <w:p>
      <w:pPr>
        <w:spacing w:after="0" w:line="240" w:lineRule="auto"/>
        <w:jc w:val="both"/>
        <w:rPr>
          <w:i/>
          <w:sz w:val="20"/>
          <w:szCs w:val="20"/>
        </w:rPr>
      </w:pPr>
      <w:r>
        <w:rPr>
          <w:i/>
          <w:sz w:val="20"/>
          <w:szCs w:val="20"/>
        </w:rPr>
        <w:t>¿Se puede definir la ciudadanía laboral como posesión de derechos? ¿Por qué?</w:t>
      </w:r>
    </w:p>
    <w:p>
      <w:pPr>
        <w:spacing w:after="0" w:line="240" w:lineRule="auto"/>
        <w:jc w:val="both"/>
        <w:rPr>
          <w:i/>
          <w:sz w:val="20"/>
          <w:szCs w:val="20"/>
        </w:rPr>
      </w:pPr>
    </w:p>
    <w:p>
      <w:pPr>
        <w:spacing w:after="0"/>
        <w:jc w:val="both"/>
        <w:rPr>
          <w:sz w:val="20"/>
          <w:szCs w:val="20"/>
        </w:rPr>
      </w:pPr>
      <w:r>
        <w:rPr>
          <w:sz w:val="20"/>
          <w:szCs w:val="20"/>
        </w:rPr>
        <w:t xml:space="preserve">Con base en las actividades desarrolladas, responda la prueba actitudinal, argumentando la importancia de la ciudadanía laboral para los trabajadores. </w:t>
      </w:r>
    </w:p>
    <w:p>
      <w:pPr>
        <w:spacing w:after="0" w:line="240" w:lineRule="auto"/>
        <w:jc w:val="both"/>
        <w:rPr>
          <w:i/>
          <w:sz w:val="20"/>
          <w:szCs w:val="20"/>
        </w:rPr>
      </w:pPr>
    </w:p>
    <w:p>
      <w:pPr>
        <w:pStyle w:val="30"/>
        <w:spacing w:after="0" w:line="240" w:lineRule="auto"/>
        <w:jc w:val="both"/>
        <w:rPr>
          <w:sz w:val="20"/>
          <w:szCs w:val="20"/>
        </w:rPr>
      </w:pPr>
      <w:r>
        <w:rPr>
          <w:b/>
          <w:sz w:val="20"/>
          <w:szCs w:val="20"/>
        </w:rPr>
        <w:t xml:space="preserve">3.El  Trabajo  y los Derechos fundamentales  </w:t>
      </w:r>
    </w:p>
    <w:p>
      <w:pPr>
        <w:spacing w:after="0" w:line="240" w:lineRule="auto"/>
        <w:rPr>
          <w:b/>
          <w:sz w:val="20"/>
          <w:szCs w:val="20"/>
        </w:rPr>
      </w:pPr>
    </w:p>
    <w:p>
      <w:pPr>
        <w:spacing w:after="0" w:line="240" w:lineRule="auto"/>
        <w:jc w:val="both"/>
        <w:rPr>
          <w:sz w:val="20"/>
          <w:szCs w:val="20"/>
        </w:rPr>
      </w:pPr>
      <w:r>
        <w:rPr>
          <w:sz w:val="20"/>
          <w:szCs w:val="20"/>
        </w:rPr>
        <w:t>Analiza la lectura: “</w:t>
      </w:r>
      <w:r>
        <w:rPr>
          <w:sz w:val="20"/>
          <w:szCs w:val="20"/>
          <w:u w:val="single"/>
        </w:rPr>
        <w:t>El trabajo como Derecho Humano Fundamental</w:t>
      </w:r>
      <w:r>
        <w:rPr>
          <w:sz w:val="20"/>
          <w:szCs w:val="20"/>
        </w:rPr>
        <w:t>”, y el video, “</w:t>
      </w:r>
      <w:r>
        <w:rPr>
          <w:sz w:val="20"/>
          <w:szCs w:val="20"/>
          <w:u w:val="single"/>
        </w:rPr>
        <w:t>Conocer los derechos fundamentales en el trabajo</w:t>
      </w:r>
      <w:r>
        <w:rPr>
          <w:sz w:val="20"/>
          <w:szCs w:val="20"/>
        </w:rPr>
        <w:t xml:space="preserve">”, responde las siguientes preguntas y socialícelas con el grupo: </w:t>
      </w:r>
    </w:p>
    <w:p>
      <w:pPr>
        <w:spacing w:after="0" w:line="240" w:lineRule="auto"/>
        <w:rPr>
          <w:b/>
          <w:sz w:val="20"/>
          <w:szCs w:val="20"/>
        </w:rPr>
      </w:pPr>
    </w:p>
    <w:p>
      <w:pPr>
        <w:spacing w:after="0"/>
        <w:ind w:left="851"/>
        <w:rPr>
          <w:i/>
          <w:sz w:val="20"/>
          <w:szCs w:val="20"/>
        </w:rPr>
      </w:pPr>
      <w:r>
        <w:rPr>
          <w:i/>
          <w:sz w:val="20"/>
          <w:szCs w:val="20"/>
        </w:rPr>
        <w:t>¿Por qué el trabajo es un derecho humano fundamental?</w:t>
      </w:r>
    </w:p>
    <w:p>
      <w:pPr>
        <w:spacing w:after="0"/>
        <w:ind w:left="851"/>
        <w:jc w:val="both"/>
        <w:rPr>
          <w:i/>
          <w:sz w:val="20"/>
          <w:szCs w:val="20"/>
        </w:rPr>
      </w:pPr>
      <w:r>
        <w:rPr>
          <w:i/>
          <w:sz w:val="20"/>
          <w:szCs w:val="20"/>
        </w:rPr>
        <w:t>¿Cómo se lograría un mundo laboral con trabajo decente?</w:t>
      </w:r>
    </w:p>
    <w:p>
      <w:pPr>
        <w:spacing w:after="0"/>
        <w:ind w:left="851"/>
        <w:jc w:val="both"/>
        <w:rPr>
          <w:i/>
          <w:sz w:val="20"/>
          <w:szCs w:val="20"/>
        </w:rPr>
      </w:pPr>
      <w:r>
        <w:rPr>
          <w:i/>
          <w:sz w:val="20"/>
          <w:szCs w:val="20"/>
        </w:rPr>
        <w:t xml:space="preserve">¿Qué principios promueve la OIT en el mundo del trabajo? </w:t>
      </w:r>
    </w:p>
    <w:p>
      <w:pPr>
        <w:spacing w:after="0"/>
        <w:ind w:left="851"/>
        <w:rPr>
          <w:i/>
          <w:sz w:val="20"/>
          <w:szCs w:val="20"/>
        </w:rPr>
      </w:pPr>
      <w:r>
        <w:rPr>
          <w:i/>
          <w:sz w:val="20"/>
          <w:szCs w:val="20"/>
        </w:rPr>
        <w:t>¿Qué relación tiene el trabajo con la satisfacción de las necesidades básicas de las personas?</w:t>
      </w:r>
    </w:p>
    <w:p>
      <w:pPr>
        <w:spacing w:after="0"/>
        <w:ind w:left="851"/>
        <w:rPr>
          <w:i/>
          <w:sz w:val="20"/>
          <w:szCs w:val="20"/>
        </w:rPr>
      </w:pPr>
      <w:r>
        <w:rPr>
          <w:i/>
          <w:sz w:val="20"/>
          <w:szCs w:val="20"/>
        </w:rPr>
        <w:t>¿Cuáles son los derechos laborales más vulnerados?</w:t>
      </w:r>
    </w:p>
    <w:p>
      <w:pPr>
        <w:spacing w:after="0"/>
        <w:ind w:left="851"/>
        <w:rPr>
          <w:i/>
          <w:sz w:val="20"/>
          <w:szCs w:val="20"/>
        </w:rPr>
      </w:pPr>
      <w:r>
        <w:rPr>
          <w:i/>
          <w:sz w:val="20"/>
          <w:szCs w:val="20"/>
        </w:rPr>
        <w:t>¿Qué consecuencias sociales, económicas, culturales y políticas resultan cuando a las personas no se les reconocen sus derechos laborales?</w:t>
      </w:r>
    </w:p>
    <w:p>
      <w:pPr>
        <w:ind w:left="851"/>
        <w:rPr>
          <w:i/>
          <w:sz w:val="20"/>
          <w:szCs w:val="20"/>
        </w:rPr>
      </w:pPr>
      <w:r>
        <w:rPr>
          <w:i/>
          <w:sz w:val="20"/>
          <w:szCs w:val="20"/>
        </w:rPr>
        <w:t>¿Qué relación tienen los derechos laborales con el trabajo decente?</w:t>
      </w:r>
    </w:p>
    <w:p>
      <w:pPr>
        <w:numPr>
          <w:ilvl w:val="0"/>
          <w:numId w:val="4"/>
        </w:numPr>
        <w:pBdr>
          <w:top w:val="none" w:color="auto" w:sz="0" w:space="0"/>
          <w:left w:val="none" w:color="auto" w:sz="0" w:space="0"/>
          <w:bottom w:val="none" w:color="auto" w:sz="0" w:space="0"/>
          <w:right w:val="none" w:color="auto" w:sz="0" w:space="0"/>
          <w:between w:val="none" w:color="auto" w:sz="0" w:space="0"/>
        </w:pBdr>
        <w:jc w:val="both"/>
        <w:rPr>
          <w:b/>
          <w:color w:val="000000"/>
          <w:sz w:val="20"/>
          <w:szCs w:val="20"/>
        </w:rPr>
      </w:pPr>
      <w:r>
        <w:rPr>
          <w:b/>
          <w:color w:val="000000"/>
          <w:sz w:val="20"/>
          <w:szCs w:val="20"/>
        </w:rPr>
        <w:t xml:space="preserve">Derechos Laborales Individuales </w:t>
      </w:r>
    </w:p>
    <w:p>
      <w:pPr>
        <w:jc w:val="both"/>
        <w:rPr>
          <w:sz w:val="20"/>
          <w:szCs w:val="20"/>
        </w:rPr>
      </w:pPr>
      <w:r>
        <w:rPr>
          <w:sz w:val="20"/>
          <w:szCs w:val="20"/>
        </w:rPr>
        <w:t>Con tus compañeros de grupo participa en el análisis de la lectura “</w:t>
      </w:r>
      <w:r>
        <w:rPr>
          <w:sz w:val="20"/>
          <w:szCs w:val="20"/>
          <w:u w:val="single"/>
        </w:rPr>
        <w:t>Derechos Laborales Individuales</w:t>
      </w:r>
      <w:r>
        <w:rPr>
          <w:sz w:val="20"/>
          <w:szCs w:val="20"/>
        </w:rPr>
        <w:t>” para resolver las siguientes preguntas y socializarlas en plenaria:</w:t>
      </w:r>
    </w:p>
    <w:p>
      <w:pPr>
        <w:spacing w:after="0" w:line="240" w:lineRule="auto"/>
        <w:ind w:left="709"/>
        <w:jc w:val="both"/>
        <w:rPr>
          <w:i/>
          <w:sz w:val="20"/>
          <w:szCs w:val="20"/>
        </w:rPr>
      </w:pPr>
      <w:r>
        <w:rPr>
          <w:i/>
          <w:sz w:val="20"/>
          <w:szCs w:val="20"/>
        </w:rPr>
        <w:t>¿Cuáles son los elementos que dan origen a un “contrato de trabajo”?</w:t>
      </w:r>
    </w:p>
    <w:p>
      <w:pPr>
        <w:spacing w:after="0" w:line="240" w:lineRule="auto"/>
        <w:ind w:left="709"/>
        <w:jc w:val="both"/>
        <w:rPr>
          <w:i/>
          <w:sz w:val="20"/>
          <w:szCs w:val="20"/>
        </w:rPr>
      </w:pPr>
      <w:r>
        <w:rPr>
          <w:i/>
          <w:sz w:val="20"/>
          <w:szCs w:val="20"/>
        </w:rPr>
        <w:t>Para que sean reconocidos mis derechos laborales ¿debo tener siempre un contrato de trabajo por escrito? Explique su respuesta.</w:t>
      </w:r>
    </w:p>
    <w:p>
      <w:pPr>
        <w:spacing w:after="0" w:line="240" w:lineRule="auto"/>
        <w:ind w:left="709"/>
        <w:jc w:val="both"/>
        <w:rPr>
          <w:i/>
          <w:sz w:val="20"/>
          <w:szCs w:val="20"/>
        </w:rPr>
      </w:pPr>
      <w:r>
        <w:rPr>
          <w:i/>
          <w:sz w:val="20"/>
          <w:szCs w:val="20"/>
        </w:rPr>
        <w:t>¿Cree usted que es posible pactar con su jefe el pago total de su salario en especie (con mercancías) y no en dinero? Explique su respuesta.</w:t>
      </w:r>
    </w:p>
    <w:p>
      <w:pPr>
        <w:spacing w:after="0" w:line="240" w:lineRule="auto"/>
        <w:ind w:left="709"/>
        <w:jc w:val="both"/>
        <w:rPr>
          <w:i/>
          <w:sz w:val="20"/>
          <w:szCs w:val="20"/>
        </w:rPr>
      </w:pPr>
      <w:r>
        <w:rPr>
          <w:i/>
          <w:sz w:val="20"/>
          <w:szCs w:val="20"/>
        </w:rPr>
        <w:t>¿Su jefe le puede cambiar las condiciones de su contrato de trabajo después de firmado? Explique su respuesta.</w:t>
      </w:r>
    </w:p>
    <w:p>
      <w:pPr>
        <w:spacing w:after="0" w:line="240" w:lineRule="auto"/>
        <w:ind w:left="709"/>
        <w:jc w:val="both"/>
        <w:rPr>
          <w:i/>
          <w:sz w:val="20"/>
          <w:szCs w:val="20"/>
        </w:rPr>
      </w:pPr>
      <w:r>
        <w:rPr>
          <w:i/>
          <w:sz w:val="20"/>
          <w:szCs w:val="20"/>
        </w:rPr>
        <w:t>¿Cuáles son las prestaciones económicas y sociales a que tiene derecho con un “contrato de trabajo”?</w:t>
      </w:r>
    </w:p>
    <w:p>
      <w:pPr>
        <w:spacing w:after="0" w:line="240" w:lineRule="auto"/>
        <w:ind w:left="100"/>
        <w:jc w:val="both"/>
        <w:rPr>
          <w:i/>
          <w:sz w:val="20"/>
          <w:szCs w:val="20"/>
        </w:rPr>
      </w:pPr>
      <w:r>
        <w:rPr>
          <w:i/>
          <w:sz w:val="20"/>
          <w:szCs w:val="20"/>
        </w:rPr>
        <w:t xml:space="preserve">Seleccione en el grupo de trabajo, dos casos que conozcan o hayan escuchado, en los cuales se evidencie violación de los derechos laborales, explique en detalle qué derechos se están violando y por qué. </w:t>
      </w:r>
    </w:p>
    <w:p>
      <w:pPr>
        <w:pBdr>
          <w:top w:val="none" w:color="auto" w:sz="0" w:space="0"/>
          <w:left w:val="none" w:color="auto" w:sz="0" w:space="0"/>
          <w:bottom w:val="none" w:color="auto" w:sz="0" w:space="0"/>
          <w:right w:val="none" w:color="auto" w:sz="0" w:space="0"/>
          <w:between w:val="none" w:color="auto" w:sz="0" w:space="0"/>
        </w:pBdr>
        <w:spacing w:after="0" w:line="240" w:lineRule="auto"/>
        <w:ind w:left="460" w:hanging="720"/>
        <w:jc w:val="both"/>
        <w:rPr>
          <w:b/>
          <w:color w:val="000000"/>
          <w:sz w:val="20"/>
          <w:szCs w:val="20"/>
        </w:rPr>
      </w:pPr>
    </w:p>
    <w:p>
      <w:pPr>
        <w:numPr>
          <w:ilvl w:val="0"/>
          <w:numId w:val="5"/>
        </w:numPr>
        <w:pBdr>
          <w:top w:val="none" w:color="auto" w:sz="0" w:space="0"/>
          <w:left w:val="none" w:color="auto" w:sz="0" w:space="0"/>
          <w:bottom w:val="none" w:color="auto" w:sz="0" w:space="0"/>
          <w:right w:val="none" w:color="auto" w:sz="0" w:space="0"/>
          <w:between w:val="none" w:color="auto" w:sz="0" w:space="0"/>
        </w:pBdr>
        <w:jc w:val="both"/>
        <w:rPr>
          <w:b/>
          <w:color w:val="000000"/>
          <w:sz w:val="20"/>
          <w:szCs w:val="20"/>
        </w:rPr>
      </w:pPr>
      <w:r>
        <w:rPr>
          <w:b/>
          <w:color w:val="000000"/>
          <w:sz w:val="20"/>
          <w:szCs w:val="20"/>
        </w:rPr>
        <w:t xml:space="preserve">Derecho Colectivo de Trabajo </w:t>
      </w:r>
      <w:r>
        <w:drawing>
          <wp:anchor distT="0" distB="0" distL="114300" distR="114300" simplePos="0" relativeHeight="251663360" behindDoc="0" locked="0" layoutInCell="1" allowOverlap="1">
            <wp:simplePos x="0" y="0"/>
            <wp:positionH relativeFrom="column">
              <wp:posOffset>4051300</wp:posOffset>
            </wp:positionH>
            <wp:positionV relativeFrom="paragraph">
              <wp:posOffset>240665</wp:posOffset>
            </wp:positionV>
            <wp:extent cx="1993900" cy="1460500"/>
            <wp:effectExtent l="0" t="0" r="6350" b="6350"/>
            <wp:wrapSquare wrapText="bothSides"/>
            <wp:docPr id="5" name="image4.jpg"/>
            <wp:cNvGraphicFramePr/>
            <a:graphic xmlns:a="http://schemas.openxmlformats.org/drawingml/2006/main">
              <a:graphicData uri="http://schemas.openxmlformats.org/drawingml/2006/picture">
                <pic:pic xmlns:pic="http://schemas.openxmlformats.org/drawingml/2006/picture">
                  <pic:nvPicPr>
                    <pic:cNvPr id="5" name="image4.jpg"/>
                    <pic:cNvPicPr preferRelativeResize="0"/>
                  </pic:nvPicPr>
                  <pic:blipFill>
                    <a:blip r:embed="rId13"/>
                    <a:srcRect/>
                    <a:stretch>
                      <a:fillRect/>
                    </a:stretch>
                  </pic:blipFill>
                  <pic:spPr>
                    <a:xfrm>
                      <a:off x="0" y="0"/>
                      <a:ext cx="1993900" cy="1460500"/>
                    </a:xfrm>
                    <a:prstGeom prst="rect">
                      <a:avLst/>
                    </a:prstGeom>
                  </pic:spPr>
                </pic:pic>
              </a:graphicData>
            </a:graphic>
          </wp:anchor>
        </w:drawing>
      </w:r>
    </w:p>
    <w:p>
      <w:pPr>
        <w:jc w:val="both"/>
        <w:rPr>
          <w:sz w:val="20"/>
          <w:szCs w:val="20"/>
        </w:rPr>
      </w:pPr>
      <w:r>
        <w:rPr>
          <w:sz w:val="20"/>
          <w:szCs w:val="20"/>
        </w:rPr>
        <w:t>Al lado de los derechos laborales individuales, existen otra categoría de derechos que ya no tocan sólo con la persona que presta sus servicios personales de manera subordinada, sino también con las garantías y derechos tendientes a mejorar las condiciones de los trabajadores como agrupación.</w:t>
      </w:r>
    </w:p>
    <w:p>
      <w:pPr>
        <w:spacing w:after="0" w:line="240" w:lineRule="auto"/>
        <w:jc w:val="both"/>
        <w:rPr>
          <w:sz w:val="20"/>
          <w:szCs w:val="20"/>
        </w:rPr>
      </w:pPr>
      <w:r>
        <w:rPr>
          <w:sz w:val="20"/>
          <w:szCs w:val="20"/>
        </w:rPr>
        <w:t xml:space="preserve">En general, el derecho de asociación es la prerrogativa de la que gozan todos los individuos de unirse y organizarse para defender o alcanzar intereses comunes, por tanto, hay diversas formas de asociaciones, tales como las cooperativas, sociedades mercantiles, ONGs, etc.  </w:t>
      </w:r>
    </w:p>
    <w:p>
      <w:pPr>
        <w:spacing w:after="0" w:line="240" w:lineRule="auto"/>
        <w:jc w:val="both"/>
        <w:rPr>
          <w:sz w:val="20"/>
          <w:szCs w:val="20"/>
        </w:rPr>
      </w:pPr>
    </w:p>
    <w:p>
      <w:pPr>
        <w:spacing w:after="0" w:line="240" w:lineRule="auto"/>
        <w:jc w:val="both"/>
        <w:rPr>
          <w:sz w:val="20"/>
          <w:szCs w:val="20"/>
        </w:rPr>
      </w:pPr>
      <w:r>
        <w:rPr>
          <w:sz w:val="20"/>
          <w:szCs w:val="20"/>
        </w:rPr>
        <w:t>El derecho colectivo del trabajo, que garantiza el derecho de asociación sindical, es quizás una de las expresiones más importantes del derecho de asociación, pues regula las relaciones entre los trabajadores o empleadores organizados con los demás sujetos del mundo del trabajo y la sociedad, en procura de lograr relaciones de trabajo justas que reivindiquen la dignidad humana y el progreso social.</w:t>
      </w:r>
    </w:p>
    <w:p>
      <w:pPr>
        <w:spacing w:after="0" w:line="240" w:lineRule="auto"/>
        <w:jc w:val="both"/>
        <w:rPr>
          <w:sz w:val="20"/>
          <w:szCs w:val="20"/>
        </w:rPr>
      </w:pPr>
    </w:p>
    <w:p>
      <w:pPr>
        <w:spacing w:after="0" w:line="240" w:lineRule="auto"/>
        <w:jc w:val="both"/>
        <w:rPr>
          <w:sz w:val="20"/>
          <w:szCs w:val="20"/>
        </w:rPr>
      </w:pPr>
      <w:r>
        <w:rPr>
          <w:sz w:val="20"/>
          <w:szCs w:val="20"/>
        </w:rPr>
        <w:t>Escuche con atención la presentación que hace el instructor de la libertad sindical y los derechos laborales colectivos.</w:t>
      </w:r>
    </w:p>
    <w:p>
      <w:pPr>
        <w:spacing w:after="0" w:line="240" w:lineRule="auto"/>
        <w:jc w:val="both"/>
        <w:rPr>
          <w:sz w:val="20"/>
          <w:szCs w:val="20"/>
        </w:rPr>
      </w:pPr>
    </w:p>
    <w:p>
      <w:pPr>
        <w:spacing w:after="0" w:line="240" w:lineRule="auto"/>
        <w:jc w:val="both"/>
        <w:rPr>
          <w:sz w:val="20"/>
          <w:szCs w:val="20"/>
        </w:rPr>
      </w:pPr>
    </w:p>
    <w:p>
      <w:pPr>
        <w:jc w:val="both"/>
        <w:rPr>
          <w:sz w:val="20"/>
          <w:szCs w:val="20"/>
        </w:rPr>
      </w:pPr>
      <w:r>
        <w:rPr>
          <w:color w:val="000000"/>
          <w:sz w:val="20"/>
          <w:szCs w:val="20"/>
        </w:rPr>
        <w:t>Analice el documento “</w:t>
      </w:r>
      <w:r>
        <w:rPr>
          <w:sz w:val="20"/>
          <w:szCs w:val="20"/>
          <w:u w:val="single"/>
        </w:rPr>
        <w:t>DERECHO_COLECTIVO_DEL_TRABAJO_</w:t>
      </w:r>
      <w:r>
        <w:rPr>
          <w:color w:val="000000"/>
          <w:sz w:val="20"/>
          <w:szCs w:val="20"/>
        </w:rPr>
        <w:t xml:space="preserve">”, </w:t>
      </w:r>
      <w:r>
        <w:rPr>
          <w:sz w:val="20"/>
          <w:szCs w:val="20"/>
        </w:rPr>
        <w:t>el audio</w:t>
      </w:r>
      <w:r>
        <w:rPr>
          <w:color w:val="000000"/>
          <w:sz w:val="20"/>
          <w:szCs w:val="20"/>
        </w:rPr>
        <w:t>video</w:t>
      </w:r>
      <w:r>
        <w:rPr>
          <w:sz w:val="20"/>
          <w:szCs w:val="20"/>
        </w:rPr>
        <w:t xml:space="preserve"> </w:t>
      </w:r>
      <w:r>
        <w:rPr>
          <w:color w:val="000000"/>
          <w:sz w:val="20"/>
          <w:szCs w:val="20"/>
        </w:rPr>
        <w:t>“</w:t>
      </w:r>
      <w:r>
        <w:rPr>
          <w:color w:val="000000"/>
          <w:sz w:val="20"/>
          <w:szCs w:val="20"/>
          <w:u w:val="single"/>
        </w:rPr>
        <w:t>Derechos laborales</w:t>
      </w:r>
      <w:r>
        <w:rPr>
          <w:color w:val="000000"/>
          <w:sz w:val="20"/>
          <w:szCs w:val="20"/>
        </w:rPr>
        <w:t xml:space="preserve">” y video </w:t>
      </w:r>
      <w:r>
        <w:rPr>
          <w:sz w:val="20"/>
          <w:szCs w:val="20"/>
        </w:rPr>
        <w:t>“</w:t>
      </w:r>
      <w:r>
        <w:rPr>
          <w:sz w:val="20"/>
          <w:szCs w:val="20"/>
          <w:u w:val="single"/>
        </w:rPr>
        <w:t>Convenio Colectivo del Trabajo</w:t>
      </w:r>
      <w:r>
        <w:rPr>
          <w:sz w:val="20"/>
          <w:szCs w:val="20"/>
        </w:rPr>
        <w:t>”, explique con sus palabras las siguientes preguntas y socializa las respuestas en plenaria</w:t>
      </w:r>
      <w:r>
        <w:rPr>
          <w:color w:val="000000"/>
          <w:sz w:val="20"/>
          <w:szCs w:val="20"/>
        </w:rPr>
        <w:t xml:space="preserve">: </w:t>
      </w:r>
    </w:p>
    <w:p>
      <w:pPr>
        <w:spacing w:after="0" w:line="240" w:lineRule="auto"/>
        <w:ind w:left="709"/>
        <w:jc w:val="both"/>
        <w:rPr>
          <w:i/>
          <w:sz w:val="20"/>
          <w:szCs w:val="20"/>
        </w:rPr>
      </w:pPr>
      <w:r>
        <w:rPr>
          <w:i/>
          <w:sz w:val="20"/>
          <w:szCs w:val="20"/>
        </w:rPr>
        <w:t>¿Qué opina usted de la organización de los trabajadores en sindicatos?</w:t>
      </w:r>
    </w:p>
    <w:p>
      <w:pPr>
        <w:spacing w:after="0" w:line="240" w:lineRule="auto"/>
        <w:ind w:left="709"/>
        <w:jc w:val="both"/>
        <w:rPr>
          <w:i/>
          <w:sz w:val="20"/>
          <w:szCs w:val="20"/>
        </w:rPr>
      </w:pPr>
      <w:r>
        <w:rPr>
          <w:i/>
          <w:sz w:val="20"/>
          <w:szCs w:val="20"/>
        </w:rPr>
        <w:t xml:space="preserve">¿Es posible que personas con diversos oficios y vinculados a empresas diferentes formen parte de una sola organización sindical? Explique su respuesta </w:t>
      </w:r>
    </w:p>
    <w:p>
      <w:pPr>
        <w:spacing w:after="0" w:line="240" w:lineRule="auto"/>
        <w:ind w:left="709"/>
        <w:jc w:val="both"/>
        <w:rPr>
          <w:i/>
          <w:sz w:val="20"/>
          <w:szCs w:val="20"/>
        </w:rPr>
      </w:pPr>
      <w:r>
        <w:rPr>
          <w:i/>
          <w:sz w:val="20"/>
          <w:szCs w:val="20"/>
        </w:rPr>
        <w:t>¿Qué es un convenio Colectivo de Trabajo?</w:t>
      </w:r>
    </w:p>
    <w:p>
      <w:pPr>
        <w:spacing w:after="0" w:line="240" w:lineRule="auto"/>
        <w:ind w:left="709"/>
        <w:jc w:val="both"/>
        <w:rPr>
          <w:i/>
          <w:color w:val="000000"/>
          <w:sz w:val="20"/>
          <w:szCs w:val="20"/>
        </w:rPr>
      </w:pPr>
      <w:r>
        <w:rPr>
          <w:i/>
          <w:color w:val="000000"/>
          <w:sz w:val="20"/>
          <w:szCs w:val="20"/>
        </w:rPr>
        <w:t>¿Cuáles son elementos fundamentales de un Convenio Colectivo de Trabajo?</w:t>
      </w:r>
    </w:p>
    <w:p>
      <w:pPr>
        <w:spacing w:after="0" w:line="240" w:lineRule="auto"/>
        <w:ind w:left="709"/>
        <w:jc w:val="both"/>
        <w:rPr>
          <w:i/>
          <w:color w:val="000000"/>
          <w:sz w:val="20"/>
          <w:szCs w:val="20"/>
        </w:rPr>
      </w:pPr>
      <w:r>
        <w:rPr>
          <w:i/>
          <w:color w:val="000000"/>
          <w:sz w:val="20"/>
          <w:szCs w:val="20"/>
        </w:rPr>
        <w:t>¿Qué es un conflicto de trabajo? Explique su respuesta.</w:t>
      </w:r>
    </w:p>
    <w:p>
      <w:pPr>
        <w:spacing w:after="0" w:line="240" w:lineRule="auto"/>
        <w:ind w:left="709"/>
        <w:jc w:val="both"/>
        <w:rPr>
          <w:i/>
          <w:color w:val="000000"/>
          <w:sz w:val="20"/>
          <w:szCs w:val="20"/>
        </w:rPr>
      </w:pPr>
      <w:r>
        <w:rPr>
          <w:i/>
          <w:color w:val="000000"/>
          <w:sz w:val="20"/>
          <w:szCs w:val="20"/>
        </w:rPr>
        <w:t>Hay quienes afirman que la huelga es una estrategia utilizada por los trabajadores para apoderarse de las empresas y no trabajar. ¿Qué opina usted al respecto?</w:t>
      </w:r>
    </w:p>
    <w:p>
      <w:pPr>
        <w:pBdr>
          <w:top w:val="none" w:color="auto" w:sz="0" w:space="0"/>
          <w:left w:val="none" w:color="auto" w:sz="0" w:space="0"/>
          <w:bottom w:val="none" w:color="auto" w:sz="0" w:space="0"/>
          <w:right w:val="none" w:color="auto" w:sz="0" w:space="0"/>
          <w:between w:val="none" w:color="auto" w:sz="0" w:space="0"/>
        </w:pBdr>
        <w:spacing w:after="0"/>
        <w:ind w:hanging="720"/>
        <w:jc w:val="both"/>
        <w:rPr>
          <w:b/>
          <w:color w:val="000000"/>
          <w:sz w:val="20"/>
          <w:szCs w:val="20"/>
          <w:u w:val="single"/>
        </w:rPr>
      </w:pPr>
    </w:p>
    <w:p>
      <w:pPr>
        <w:numPr>
          <w:ilvl w:val="0"/>
          <w:numId w:val="5"/>
        </w:numPr>
        <w:pBdr>
          <w:top w:val="none" w:color="auto" w:sz="0" w:space="0"/>
          <w:left w:val="none" w:color="auto" w:sz="0" w:space="0"/>
          <w:bottom w:val="none" w:color="auto" w:sz="0" w:space="0"/>
          <w:right w:val="none" w:color="auto" w:sz="0" w:space="0"/>
          <w:between w:val="none" w:color="auto" w:sz="0" w:space="0"/>
        </w:pBdr>
        <w:jc w:val="both"/>
        <w:rPr>
          <w:b/>
          <w:color w:val="000000"/>
          <w:sz w:val="20"/>
          <w:szCs w:val="20"/>
        </w:rPr>
      </w:pPr>
      <w:r>
        <w:rPr>
          <w:b/>
          <w:color w:val="000000"/>
          <w:sz w:val="20"/>
          <w:szCs w:val="20"/>
        </w:rPr>
        <w:t>Libertad Sindical</w:t>
      </w:r>
    </w:p>
    <w:p>
      <w:pPr>
        <w:jc w:val="both"/>
        <w:rPr>
          <w:i/>
          <w:sz w:val="20"/>
          <w:szCs w:val="20"/>
        </w:rPr>
      </w:pPr>
      <w:r>
        <w:rPr>
          <w:sz w:val="20"/>
          <w:szCs w:val="20"/>
        </w:rPr>
        <w:t>De acuerdo al documento “</w:t>
      </w:r>
      <w:r>
        <w:rPr>
          <w:sz w:val="20"/>
          <w:szCs w:val="20"/>
          <w:u w:val="single"/>
        </w:rPr>
        <w:t>GUÍA CONDUCTAS ATENTATORIAS CONTRA EL DERECHO DE ASOCIACIÓN SINDICAL”</w:t>
      </w:r>
      <w:r>
        <w:rPr>
          <w:sz w:val="20"/>
          <w:szCs w:val="20"/>
        </w:rPr>
        <w:t>, y el video “</w:t>
      </w:r>
      <w:r>
        <w:rPr>
          <w:sz w:val="20"/>
          <w:szCs w:val="20"/>
          <w:u w:val="single"/>
        </w:rPr>
        <w:t>Libertad sindical, un derecho fundamental</w:t>
      </w:r>
      <w:r>
        <w:rPr>
          <w:sz w:val="20"/>
          <w:szCs w:val="20"/>
        </w:rPr>
        <w:t xml:space="preserve">” resuelva con su grupo las siguientes preguntas:  </w:t>
      </w:r>
    </w:p>
    <w:p>
      <w:pPr>
        <w:spacing w:after="0" w:line="240" w:lineRule="auto"/>
        <w:ind w:left="709"/>
        <w:jc w:val="both"/>
        <w:rPr>
          <w:sz w:val="20"/>
          <w:szCs w:val="20"/>
        </w:rPr>
      </w:pPr>
      <w:r>
        <w:rPr>
          <w:i/>
          <w:sz w:val="20"/>
          <w:szCs w:val="20"/>
        </w:rPr>
        <w:t>¿Cuál es la definición de libertad sindical?</w:t>
      </w:r>
    </w:p>
    <w:p>
      <w:pPr>
        <w:spacing w:after="0" w:line="240" w:lineRule="auto"/>
        <w:ind w:left="709"/>
        <w:jc w:val="both"/>
        <w:rPr>
          <w:i/>
          <w:sz w:val="20"/>
          <w:szCs w:val="20"/>
        </w:rPr>
      </w:pPr>
      <w:r>
        <w:rPr>
          <w:i/>
          <w:sz w:val="20"/>
          <w:szCs w:val="20"/>
        </w:rPr>
        <w:t>¿Cómo construir conciencia para una mejor comprensión de la libertad sindical?</w:t>
      </w:r>
    </w:p>
    <w:p>
      <w:pPr>
        <w:spacing w:after="0" w:line="240" w:lineRule="auto"/>
        <w:ind w:left="709"/>
        <w:jc w:val="both"/>
        <w:rPr>
          <w:color w:val="000000"/>
          <w:sz w:val="20"/>
          <w:szCs w:val="20"/>
        </w:rPr>
      </w:pPr>
      <w:r>
        <w:rPr>
          <w:i/>
          <w:color w:val="000000"/>
          <w:sz w:val="20"/>
          <w:szCs w:val="20"/>
        </w:rPr>
        <w:t>¿Qué normas nacionales e internacionales amparan la Libertad Sindical?</w:t>
      </w:r>
    </w:p>
    <w:p>
      <w:pPr>
        <w:spacing w:after="0" w:line="240" w:lineRule="auto"/>
        <w:ind w:left="709"/>
        <w:jc w:val="both"/>
        <w:rPr>
          <w:i/>
          <w:color w:val="000000"/>
          <w:sz w:val="20"/>
          <w:szCs w:val="20"/>
        </w:rPr>
      </w:pPr>
      <w:r>
        <w:rPr>
          <w:i/>
          <w:color w:val="000000"/>
          <w:sz w:val="20"/>
          <w:szCs w:val="20"/>
        </w:rPr>
        <w:t>¿Qué acciones propondría usted para promover el derecho de asociación sindical y la libertad sindical?</w:t>
      </w:r>
    </w:p>
    <w:tbl>
      <w:tblPr>
        <w:tblStyle w:val="6"/>
        <w:tblW w:w="95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8" w:hRule="atLeast"/>
        </w:trPr>
        <w:tc>
          <w:tcPr>
            <w:tcW w:w="9542" w:type="dxa"/>
          </w:tcPr>
          <w:p>
            <w:pPr>
              <w:pBdr>
                <w:top w:val="none" w:color="auto" w:sz="0" w:space="0"/>
                <w:left w:val="none" w:color="auto" w:sz="0" w:space="0"/>
                <w:bottom w:val="none" w:color="auto" w:sz="0" w:space="0"/>
                <w:right w:val="none" w:color="auto" w:sz="0" w:space="0"/>
                <w:between w:val="none" w:color="auto" w:sz="0" w:space="0"/>
              </w:pBdr>
              <w:spacing w:after="0"/>
              <w:ind w:left="850" w:hanging="720"/>
              <w:rPr>
                <w:rFonts w:cs="Calibri"/>
                <w:b/>
                <w:color w:val="000000"/>
                <w:sz w:val="20"/>
                <w:szCs w:val="20"/>
                <w:u w:val="single"/>
              </w:rPr>
            </w:pPr>
            <w:r>
              <w:rPr>
                <w:rFonts w:cs="Calibri"/>
                <w:b/>
                <w:color w:val="000000"/>
                <w:sz w:val="20"/>
                <w:szCs w:val="20"/>
                <w:u w:val="single"/>
              </w:rPr>
              <w:t>Para tener en cuenta:</w:t>
            </w:r>
          </w:p>
          <w:p>
            <w:pPr>
              <w:pBdr>
                <w:top w:val="none" w:color="auto" w:sz="0" w:space="0"/>
                <w:left w:val="none" w:color="auto" w:sz="0" w:space="0"/>
                <w:bottom w:val="none" w:color="auto" w:sz="0" w:space="0"/>
                <w:right w:val="none" w:color="auto" w:sz="0" w:space="0"/>
                <w:between w:val="none" w:color="auto" w:sz="0" w:space="0"/>
              </w:pBdr>
              <w:ind w:left="720" w:hanging="720"/>
              <w:rPr>
                <w:rFonts w:cs="Calibri"/>
                <w:color w:val="000000"/>
                <w:sz w:val="20"/>
                <w:szCs w:val="20"/>
              </w:rPr>
            </w:pPr>
            <w:r>
              <w:rPr>
                <w:rFonts w:cs="Calibri"/>
                <w:color w:val="000000"/>
                <w:sz w:val="20"/>
                <w:szCs w:val="20"/>
              </w:rPr>
              <w:t>La libertad sindical es un derecho humano y fundamental que permite a los trabajadores la defensa y promoción de sus derechos para asegurar condiciones dignas de salario, de vida y de trabajo. Es un derecho humano porque es consustancial a la dignidad en el trabajo y porque es una condición indispensable para el progreso económico y social. Su incumplimiento por parte de los empleadores y del gobierno puede ser denunciado ante organismos nacionales e internacionales.</w:t>
            </w:r>
            <w:r>
              <w:drawing>
                <wp:anchor distT="0" distB="0" distL="114300" distR="114300" simplePos="0" relativeHeight="251664384" behindDoc="1" locked="0" layoutInCell="1" allowOverlap="1">
                  <wp:simplePos x="0" y="0"/>
                  <wp:positionH relativeFrom="column">
                    <wp:posOffset>-5715</wp:posOffset>
                  </wp:positionH>
                  <wp:positionV relativeFrom="paragraph">
                    <wp:posOffset>34925</wp:posOffset>
                  </wp:positionV>
                  <wp:extent cx="1461770" cy="1537335"/>
                  <wp:effectExtent l="0" t="0" r="5080" b="5715"/>
                  <wp:wrapTight wrapText="bothSides">
                    <wp:wrapPolygon>
                      <wp:start x="0" y="0"/>
                      <wp:lineTo x="0" y="21413"/>
                      <wp:lineTo x="21394" y="21413"/>
                      <wp:lineTo x="21394" y="0"/>
                      <wp:lineTo x="0" y="0"/>
                    </wp:wrapPolygon>
                  </wp:wrapTight>
                  <wp:docPr id="8" name="image6.jpg"/>
                  <wp:cNvGraphicFramePr/>
                  <a:graphic xmlns:a="http://schemas.openxmlformats.org/drawingml/2006/main">
                    <a:graphicData uri="http://schemas.openxmlformats.org/drawingml/2006/picture">
                      <pic:pic xmlns:pic="http://schemas.openxmlformats.org/drawingml/2006/picture">
                        <pic:nvPicPr>
                          <pic:cNvPr id="8" name="image6.jpg"/>
                          <pic:cNvPicPr preferRelativeResize="0"/>
                        </pic:nvPicPr>
                        <pic:blipFill>
                          <a:blip r:embed="rId14"/>
                          <a:srcRect/>
                          <a:stretch>
                            <a:fillRect/>
                          </a:stretch>
                        </pic:blipFill>
                        <pic:spPr>
                          <a:xfrm>
                            <a:off x="0" y="0"/>
                            <a:ext cx="1461600" cy="1537200"/>
                          </a:xfrm>
                          <a:prstGeom prst="rect">
                            <a:avLst/>
                          </a:prstGeom>
                        </pic:spPr>
                      </pic:pic>
                    </a:graphicData>
                  </a:graphic>
                </wp:anchor>
              </w:drawing>
            </w:r>
          </w:p>
        </w:tc>
      </w:tr>
    </w:tbl>
    <w:p>
      <w:pPr>
        <w:spacing w:after="0" w:line="240" w:lineRule="auto"/>
        <w:jc w:val="both"/>
        <w:rPr>
          <w:sz w:val="20"/>
          <w:szCs w:val="20"/>
        </w:rPr>
      </w:pPr>
    </w:p>
    <w:p>
      <w:pPr>
        <w:jc w:val="both"/>
        <w:rPr>
          <w:sz w:val="20"/>
          <w:szCs w:val="20"/>
        </w:rPr>
      </w:pPr>
      <w:r>
        <w:rPr>
          <w:sz w:val="20"/>
          <w:szCs w:val="20"/>
        </w:rPr>
        <w:t xml:space="preserve">Resuelve con el grupo de trabajo   las siguientes preguntas con el documento: </w:t>
      </w:r>
      <w:r>
        <w:rPr>
          <w:sz w:val="20"/>
          <w:szCs w:val="20"/>
          <w:u w:val="single"/>
        </w:rPr>
        <w:t>Organización Sindical</w:t>
      </w:r>
      <w:r>
        <w:rPr>
          <w:sz w:val="20"/>
          <w:szCs w:val="20"/>
        </w:rPr>
        <w:t xml:space="preserve"> y los vídeos </w:t>
      </w:r>
      <w:r>
        <w:rPr>
          <w:b/>
          <w:color w:val="000000"/>
          <w:sz w:val="20"/>
          <w:szCs w:val="20"/>
        </w:rPr>
        <w:t>“</w:t>
      </w:r>
      <w:r>
        <w:rPr>
          <w:color w:val="000000"/>
          <w:sz w:val="20"/>
          <w:szCs w:val="20"/>
          <w:u w:val="single"/>
        </w:rPr>
        <w:t>Qué es un sindicato</w:t>
      </w:r>
      <w:r>
        <w:rPr>
          <w:sz w:val="20"/>
          <w:szCs w:val="20"/>
          <w:u w:val="single"/>
        </w:rPr>
        <w:t xml:space="preserve"> 1 y 2”</w:t>
      </w:r>
      <w:r>
        <w:rPr>
          <w:sz w:val="20"/>
          <w:szCs w:val="20"/>
        </w:rPr>
        <w:t xml:space="preserve"> Socializa estas respuestas y las anteriores en plenaria.</w:t>
      </w:r>
      <w:r>
        <w:rPr>
          <w:b/>
          <w:sz w:val="20"/>
          <w:szCs w:val="20"/>
        </w:rPr>
        <w:t xml:space="preserve"> </w:t>
      </w:r>
    </w:p>
    <w:p>
      <w:pPr>
        <w:pBdr>
          <w:top w:val="none" w:color="auto" w:sz="0" w:space="0"/>
          <w:left w:val="none" w:color="auto" w:sz="0" w:space="0"/>
          <w:bottom w:val="none" w:color="auto" w:sz="0" w:space="0"/>
          <w:right w:val="none" w:color="auto" w:sz="0" w:space="0"/>
          <w:between w:val="none" w:color="auto" w:sz="0" w:space="0"/>
        </w:pBdr>
        <w:spacing w:after="0"/>
        <w:ind w:left="360" w:hanging="720"/>
        <w:jc w:val="both"/>
        <w:rPr>
          <w:i/>
          <w:color w:val="000000"/>
          <w:sz w:val="20"/>
          <w:szCs w:val="20"/>
        </w:rPr>
      </w:pPr>
      <w:r>
        <w:rPr>
          <w:i/>
          <w:color w:val="000000"/>
          <w:sz w:val="20"/>
          <w:szCs w:val="20"/>
        </w:rPr>
        <w:t xml:space="preserve"> ¿Cuál es el panorama de Colombia en cuanto a los Derechos sindicales? </w:t>
      </w:r>
    </w:p>
    <w:p>
      <w:pPr>
        <w:pBdr>
          <w:top w:val="none" w:color="auto" w:sz="0" w:space="0"/>
          <w:left w:val="none" w:color="auto" w:sz="0" w:space="0"/>
          <w:bottom w:val="none" w:color="auto" w:sz="0" w:space="0"/>
          <w:right w:val="none" w:color="auto" w:sz="0" w:space="0"/>
          <w:between w:val="none" w:color="auto" w:sz="0" w:space="0"/>
        </w:pBdr>
        <w:spacing w:after="0"/>
        <w:ind w:left="360" w:hanging="720"/>
        <w:jc w:val="both"/>
        <w:rPr>
          <w:i/>
          <w:color w:val="000000"/>
          <w:sz w:val="20"/>
          <w:szCs w:val="20"/>
        </w:rPr>
      </w:pPr>
      <w:r>
        <w:rPr>
          <w:i/>
          <w:color w:val="000000"/>
          <w:sz w:val="20"/>
          <w:szCs w:val="20"/>
        </w:rPr>
        <w:t>¿Cuál es la importancia de la OIT en la aplicación del derecho Laboral?</w:t>
      </w:r>
    </w:p>
    <w:p>
      <w:pPr>
        <w:pBdr>
          <w:top w:val="none" w:color="auto" w:sz="0" w:space="0"/>
          <w:left w:val="none" w:color="auto" w:sz="0" w:space="0"/>
          <w:bottom w:val="none" w:color="auto" w:sz="0" w:space="0"/>
          <w:right w:val="none" w:color="auto" w:sz="0" w:space="0"/>
          <w:between w:val="none" w:color="auto" w:sz="0" w:space="0"/>
        </w:pBdr>
        <w:spacing w:after="0"/>
        <w:ind w:left="360" w:hanging="720"/>
        <w:jc w:val="both"/>
        <w:rPr>
          <w:i/>
          <w:color w:val="000000"/>
          <w:sz w:val="20"/>
          <w:szCs w:val="20"/>
        </w:rPr>
      </w:pPr>
      <w:r>
        <w:rPr>
          <w:i/>
          <w:color w:val="000000"/>
          <w:sz w:val="20"/>
          <w:szCs w:val="20"/>
        </w:rPr>
        <w:t>¿Cuáles son los fines de un sindicato?</w:t>
      </w:r>
    </w:p>
    <w:p>
      <w:pPr>
        <w:pBdr>
          <w:top w:val="none" w:color="auto" w:sz="0" w:space="0"/>
          <w:left w:val="none" w:color="auto" w:sz="0" w:space="0"/>
          <w:bottom w:val="none" w:color="auto" w:sz="0" w:space="0"/>
          <w:right w:val="none" w:color="auto" w:sz="0" w:space="0"/>
          <w:between w:val="none" w:color="auto" w:sz="0" w:space="0"/>
        </w:pBdr>
        <w:spacing w:after="0"/>
        <w:ind w:left="360" w:hanging="720"/>
        <w:jc w:val="both"/>
        <w:rPr>
          <w:i/>
          <w:color w:val="000000"/>
          <w:sz w:val="20"/>
          <w:szCs w:val="20"/>
        </w:rPr>
      </w:pPr>
      <w:r>
        <w:rPr>
          <w:i/>
          <w:color w:val="000000"/>
          <w:sz w:val="20"/>
          <w:szCs w:val="20"/>
        </w:rPr>
        <w:t>¿Cómo se clasifican los sindicatos?</w:t>
      </w:r>
    </w:p>
    <w:p>
      <w:pPr>
        <w:pBdr>
          <w:top w:val="none" w:color="auto" w:sz="0" w:space="0"/>
          <w:left w:val="none" w:color="auto" w:sz="0" w:space="0"/>
          <w:bottom w:val="none" w:color="auto" w:sz="0" w:space="0"/>
          <w:right w:val="none" w:color="auto" w:sz="0" w:space="0"/>
          <w:between w:val="none" w:color="auto" w:sz="0" w:space="0"/>
        </w:pBdr>
        <w:spacing w:after="0"/>
        <w:ind w:left="360" w:hanging="720"/>
        <w:jc w:val="both"/>
        <w:rPr>
          <w:i/>
          <w:color w:val="000000"/>
          <w:sz w:val="20"/>
          <w:szCs w:val="20"/>
        </w:rPr>
      </w:pPr>
      <w:r>
        <w:rPr>
          <w:i/>
          <w:color w:val="000000"/>
          <w:sz w:val="20"/>
          <w:szCs w:val="20"/>
        </w:rPr>
        <w:t>¿Cuál es la importancia de la organización sindical para la democracia?</w:t>
      </w:r>
    </w:p>
    <w:p>
      <w:pPr>
        <w:pBdr>
          <w:top w:val="none" w:color="auto" w:sz="0" w:space="0"/>
          <w:left w:val="none" w:color="auto" w:sz="0" w:space="0"/>
          <w:bottom w:val="none" w:color="auto" w:sz="0" w:space="0"/>
          <w:right w:val="none" w:color="auto" w:sz="0" w:space="0"/>
          <w:between w:val="none" w:color="auto" w:sz="0" w:space="0"/>
        </w:pBdr>
        <w:spacing w:after="0"/>
        <w:ind w:left="-284" w:hanging="76"/>
        <w:jc w:val="both"/>
        <w:rPr>
          <w:i/>
          <w:color w:val="000000"/>
          <w:sz w:val="20"/>
          <w:szCs w:val="20"/>
        </w:rPr>
      </w:pPr>
      <w:r>
        <w:rPr>
          <w:i/>
          <w:color w:val="000000"/>
          <w:sz w:val="20"/>
          <w:szCs w:val="20"/>
        </w:rPr>
        <w:t>¿Cómo afecta a la sindicalización, la tercerización del empleo, el trabajo a destajo, las modalidades de prestación del</w:t>
      </w:r>
      <w:r>
        <w:rPr>
          <w:i/>
          <w:sz w:val="20"/>
          <w:szCs w:val="20"/>
        </w:rPr>
        <w:t xml:space="preserve"> </w:t>
      </w:r>
      <w:r>
        <w:rPr>
          <w:i/>
          <w:color w:val="000000"/>
          <w:sz w:val="20"/>
          <w:szCs w:val="20"/>
        </w:rPr>
        <w:t xml:space="preserve">servicio, el desempleo, el contrato a término fijo? </w:t>
      </w:r>
    </w:p>
    <w:p>
      <w:pPr>
        <w:pBdr>
          <w:top w:val="none" w:color="auto" w:sz="0" w:space="0"/>
          <w:left w:val="none" w:color="auto" w:sz="0" w:space="0"/>
          <w:bottom w:val="none" w:color="auto" w:sz="0" w:space="0"/>
          <w:right w:val="none" w:color="auto" w:sz="0" w:space="0"/>
          <w:between w:val="none" w:color="auto" w:sz="0" w:space="0"/>
        </w:pBdr>
        <w:spacing w:after="0"/>
        <w:ind w:left="360" w:hanging="720"/>
        <w:jc w:val="both"/>
        <w:rPr>
          <w:b/>
          <w:i/>
          <w:sz w:val="20"/>
          <w:szCs w:val="20"/>
          <w:u w:val="single"/>
        </w:rPr>
      </w:pPr>
    </w:p>
    <w:p>
      <w:pPr>
        <w:numPr>
          <w:ilvl w:val="0"/>
          <w:numId w:val="5"/>
        </w:numPr>
        <w:pBdr>
          <w:top w:val="none" w:color="auto" w:sz="0" w:space="0"/>
          <w:left w:val="none" w:color="auto" w:sz="0" w:space="0"/>
          <w:bottom w:val="none" w:color="auto" w:sz="0" w:space="0"/>
          <w:right w:val="none" w:color="auto" w:sz="0" w:space="0"/>
          <w:between w:val="none" w:color="auto" w:sz="0" w:space="0"/>
        </w:pBdr>
        <w:spacing w:after="0"/>
        <w:jc w:val="both"/>
        <w:rPr>
          <w:b/>
          <w:color w:val="000000"/>
          <w:sz w:val="20"/>
          <w:szCs w:val="20"/>
        </w:rPr>
      </w:pPr>
      <w:r>
        <w:rPr>
          <w:b/>
          <w:color w:val="000000"/>
          <w:sz w:val="20"/>
          <w:szCs w:val="20"/>
        </w:rPr>
        <w:t xml:space="preserve">Negociación Colectiva </w:t>
      </w:r>
    </w:p>
    <w:p>
      <w:pPr>
        <w:pBdr>
          <w:top w:val="none" w:color="auto" w:sz="0" w:space="0"/>
          <w:left w:val="none" w:color="auto" w:sz="0" w:space="0"/>
          <w:bottom w:val="none" w:color="auto" w:sz="0" w:space="0"/>
          <w:right w:val="none" w:color="auto" w:sz="0" w:space="0"/>
          <w:between w:val="none" w:color="auto" w:sz="0" w:space="0"/>
        </w:pBdr>
        <w:jc w:val="both"/>
        <w:rPr>
          <w:i/>
          <w:color w:val="000000"/>
          <w:sz w:val="20"/>
          <w:szCs w:val="20"/>
        </w:rPr>
      </w:pPr>
      <w:r>
        <w:rPr>
          <w:i/>
          <w:color w:val="000000"/>
          <w:sz w:val="20"/>
          <w:szCs w:val="20"/>
        </w:rPr>
        <w:t>Con su grupo de trabajo observe los videos que a continuación se presentan</w:t>
      </w:r>
      <w:r>
        <w:rPr>
          <w:color w:val="000000"/>
          <w:sz w:val="20"/>
          <w:szCs w:val="20"/>
        </w:rPr>
        <w:t xml:space="preserve">: </w:t>
      </w:r>
      <w:r>
        <w:rPr>
          <w:color w:val="000000"/>
          <w:sz w:val="20"/>
          <w:szCs w:val="20"/>
          <w:u w:val="single"/>
        </w:rPr>
        <w:t xml:space="preserve">Negociación Colectiva </w:t>
      </w:r>
      <w:r>
        <w:rPr>
          <w:sz w:val="20"/>
          <w:szCs w:val="20"/>
          <w:u w:val="single"/>
        </w:rPr>
        <w:t>1</w:t>
      </w:r>
      <w:r>
        <w:rPr>
          <w:i/>
          <w:color w:val="000000"/>
          <w:sz w:val="20"/>
          <w:szCs w:val="20"/>
        </w:rPr>
        <w:t xml:space="preserve"> y </w:t>
      </w:r>
      <w:r>
        <w:rPr>
          <w:color w:val="000000"/>
          <w:sz w:val="20"/>
          <w:szCs w:val="20"/>
          <w:u w:val="single"/>
        </w:rPr>
        <w:t xml:space="preserve">Negociación Colectiva </w:t>
      </w:r>
      <w:r>
        <w:rPr>
          <w:sz w:val="20"/>
          <w:szCs w:val="20"/>
          <w:u w:val="single"/>
        </w:rPr>
        <w:t>2</w:t>
      </w:r>
      <w:r>
        <w:rPr>
          <w:i/>
          <w:color w:val="0000FF"/>
          <w:sz w:val="20"/>
          <w:szCs w:val="20"/>
          <w:u w:val="single"/>
        </w:rPr>
        <w:t xml:space="preserve"> </w:t>
      </w:r>
      <w:r>
        <w:rPr>
          <w:i/>
          <w:color w:val="000000"/>
          <w:sz w:val="20"/>
          <w:szCs w:val="20"/>
        </w:rPr>
        <w:t xml:space="preserve">representando en un </w:t>
      </w:r>
      <w:r>
        <w:rPr>
          <w:i/>
          <w:sz w:val="20"/>
          <w:szCs w:val="20"/>
        </w:rPr>
        <w:t>gráfico</w:t>
      </w:r>
      <w:r>
        <w:rPr>
          <w:i/>
          <w:color w:val="000000"/>
          <w:sz w:val="20"/>
          <w:szCs w:val="20"/>
        </w:rPr>
        <w:t xml:space="preserve"> las respuestas a las siguientes preguntas: </w:t>
      </w:r>
      <w:r>
        <w:rPr>
          <w:i/>
          <w:color w:val="0000FF"/>
          <w:sz w:val="20"/>
          <w:szCs w:val="20"/>
          <w:u w:val="single"/>
        </w:rPr>
        <w:t xml:space="preserve"> </w:t>
      </w:r>
    </w:p>
    <w:p>
      <w:pPr>
        <w:spacing w:after="0"/>
        <w:ind w:left="709" w:firstLine="360"/>
        <w:jc w:val="both"/>
        <w:rPr>
          <w:i/>
          <w:sz w:val="20"/>
          <w:szCs w:val="20"/>
        </w:rPr>
      </w:pPr>
      <w:r>
        <w:rPr>
          <w:i/>
          <w:sz w:val="20"/>
          <w:szCs w:val="20"/>
        </w:rPr>
        <w:t xml:space="preserve">¿Qué tipos de Negociación existen? </w:t>
      </w:r>
    </w:p>
    <w:p>
      <w:pPr>
        <w:spacing w:after="0"/>
        <w:ind w:left="709" w:firstLine="360"/>
        <w:jc w:val="both"/>
        <w:rPr>
          <w:i/>
          <w:sz w:val="20"/>
          <w:szCs w:val="20"/>
        </w:rPr>
      </w:pPr>
      <w:r>
        <w:rPr>
          <w:i/>
          <w:sz w:val="20"/>
          <w:szCs w:val="20"/>
        </w:rPr>
        <w:t>¿Cuáles son las características de la Negociación Colectiva?</w:t>
      </w:r>
    </w:p>
    <w:p>
      <w:pPr>
        <w:spacing w:after="0"/>
        <w:ind w:left="709" w:firstLine="360"/>
        <w:jc w:val="both"/>
        <w:rPr>
          <w:i/>
          <w:sz w:val="20"/>
          <w:szCs w:val="20"/>
        </w:rPr>
      </w:pPr>
      <w:r>
        <w:rPr>
          <w:i/>
          <w:sz w:val="20"/>
          <w:szCs w:val="20"/>
        </w:rPr>
        <w:t>¿Cuál es la finalidad de la Negociación colectiva?</w:t>
      </w:r>
    </w:p>
    <w:p>
      <w:pPr>
        <w:spacing w:after="0"/>
        <w:ind w:left="709" w:firstLine="360"/>
        <w:jc w:val="both"/>
        <w:rPr>
          <w:i/>
          <w:sz w:val="20"/>
          <w:szCs w:val="20"/>
        </w:rPr>
      </w:pPr>
      <w:r>
        <w:rPr>
          <w:i/>
          <w:sz w:val="20"/>
          <w:szCs w:val="20"/>
        </w:rPr>
        <w:t>¿Qué promueve la OIT respecto a la Negociación Colectiva?</w:t>
      </w:r>
    </w:p>
    <w:p>
      <w:pPr>
        <w:spacing w:after="0"/>
        <w:ind w:left="709" w:firstLine="360"/>
        <w:jc w:val="both"/>
        <w:rPr>
          <w:i/>
          <w:sz w:val="20"/>
          <w:szCs w:val="20"/>
        </w:rPr>
      </w:pPr>
    </w:p>
    <w:tbl>
      <w:tblPr>
        <w:tblStyle w:val="6"/>
        <w:tblW w:w="69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6911" w:type="dxa"/>
          </w:tcPr>
          <w:p>
            <w:pPr>
              <w:spacing w:after="0" w:line="240" w:lineRule="auto"/>
              <w:rPr>
                <w:rFonts w:cs="Calibri"/>
                <w:sz w:val="20"/>
                <w:szCs w:val="20"/>
              </w:rPr>
            </w:pPr>
            <w:r>
              <w:rPr>
                <w:rFonts w:cs="Calibri"/>
                <w:b/>
                <w:sz w:val="20"/>
                <w:szCs w:val="20"/>
              </w:rPr>
              <w:t>Las normas Nacionales e internacionales que amparan la negociación Colectiva: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911" w:type="dxa"/>
          </w:tcPr>
          <w:p>
            <w:pPr>
              <w:numPr>
                <w:ilvl w:val="0"/>
                <w:numId w:val="6"/>
              </w:num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000000"/>
                <w:sz w:val="20"/>
                <w:szCs w:val="20"/>
              </w:rPr>
            </w:pPr>
            <w:r>
              <w:rPr>
                <w:rFonts w:cs="Calibri"/>
                <w:color w:val="000000"/>
                <w:sz w:val="20"/>
                <w:szCs w:val="20"/>
              </w:rPr>
              <w:t>Constitución política, artículo 19, artículo 60 y artículo 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911" w:type="dxa"/>
          </w:tcPr>
          <w:p>
            <w:pPr>
              <w:numPr>
                <w:ilvl w:val="0"/>
                <w:numId w:val="6"/>
              </w:num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000000"/>
                <w:sz w:val="20"/>
                <w:szCs w:val="20"/>
              </w:rPr>
            </w:pPr>
            <w:r>
              <w:rPr>
                <w:rFonts w:cs="Calibri"/>
                <w:color w:val="000000"/>
                <w:sz w:val="20"/>
                <w:szCs w:val="20"/>
              </w:rPr>
              <w:t>Código del trabajo, artículo 303 y siguientes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911" w:type="dxa"/>
          </w:tcPr>
          <w:p>
            <w:pPr>
              <w:numPr>
                <w:ilvl w:val="0"/>
                <w:numId w:val="6"/>
              </w:num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000000"/>
                <w:sz w:val="20"/>
                <w:szCs w:val="20"/>
              </w:rPr>
            </w:pPr>
            <w:r>
              <w:rPr>
                <w:rFonts w:cs="Calibri"/>
                <w:color w:val="000000"/>
                <w:sz w:val="20"/>
                <w:szCs w:val="20"/>
              </w:rPr>
              <w:t>Convenio OIT No. 98 (Derecho de sindicación y Negociación Colectiva)</w:t>
            </w:r>
          </w:p>
        </w:tc>
      </w:tr>
    </w:tbl>
    <w:p>
      <w:pPr>
        <w:spacing w:after="0"/>
        <w:ind w:left="709" w:firstLine="360"/>
        <w:jc w:val="both"/>
        <w:rPr>
          <w:sz w:val="20"/>
          <w:szCs w:val="20"/>
        </w:rPr>
      </w:pPr>
    </w:p>
    <w:p>
      <w:pPr>
        <w:numPr>
          <w:ilvl w:val="0"/>
          <w:numId w:val="6"/>
        </w:numPr>
        <w:pBdr>
          <w:top w:val="none" w:color="auto" w:sz="0" w:space="0"/>
          <w:left w:val="none" w:color="auto" w:sz="0" w:space="0"/>
          <w:bottom w:val="none" w:color="auto" w:sz="0" w:space="0"/>
          <w:right w:val="none" w:color="auto" w:sz="0" w:space="0"/>
          <w:between w:val="none" w:color="auto" w:sz="0" w:space="0"/>
        </w:pBdr>
        <w:jc w:val="both"/>
        <w:rPr>
          <w:b/>
          <w:color w:val="000000"/>
          <w:sz w:val="20"/>
          <w:szCs w:val="20"/>
        </w:rPr>
      </w:pPr>
      <w:r>
        <w:rPr>
          <w:b/>
          <w:color w:val="000000"/>
          <w:sz w:val="20"/>
          <w:szCs w:val="20"/>
        </w:rPr>
        <w:t xml:space="preserve">Derecho a la Huelga </w:t>
      </w:r>
      <w:r>
        <w:drawing>
          <wp:anchor distT="0" distB="0" distL="114300" distR="114300" simplePos="0" relativeHeight="251665408" behindDoc="0" locked="0" layoutInCell="1" allowOverlap="1">
            <wp:simplePos x="0" y="0"/>
            <wp:positionH relativeFrom="column">
              <wp:posOffset>4547870</wp:posOffset>
            </wp:positionH>
            <wp:positionV relativeFrom="paragraph">
              <wp:posOffset>275590</wp:posOffset>
            </wp:positionV>
            <wp:extent cx="1514475" cy="1316990"/>
            <wp:effectExtent l="0" t="0" r="9525" b="16510"/>
            <wp:wrapSquare wrapText="bothSides"/>
            <wp:docPr id="2" name="image7.jpg" descr="Resultado de imagen para derecho a la huelga"/>
            <wp:cNvGraphicFramePr/>
            <a:graphic xmlns:a="http://schemas.openxmlformats.org/drawingml/2006/main">
              <a:graphicData uri="http://schemas.openxmlformats.org/drawingml/2006/picture">
                <pic:pic xmlns:pic="http://schemas.openxmlformats.org/drawingml/2006/picture">
                  <pic:nvPicPr>
                    <pic:cNvPr id="2" name="image7.jpg" descr="Resultado de imagen para derecho a la huelga"/>
                    <pic:cNvPicPr preferRelativeResize="0"/>
                  </pic:nvPicPr>
                  <pic:blipFill>
                    <a:blip r:embed="rId15"/>
                    <a:srcRect/>
                    <a:stretch>
                      <a:fillRect/>
                    </a:stretch>
                  </pic:blipFill>
                  <pic:spPr>
                    <a:xfrm>
                      <a:off x="0" y="0"/>
                      <a:ext cx="1514475" cy="1316990"/>
                    </a:xfrm>
                    <a:prstGeom prst="rect">
                      <a:avLst/>
                    </a:prstGeom>
                  </pic:spPr>
                </pic:pic>
              </a:graphicData>
            </a:graphic>
          </wp:anchor>
        </w:drawing>
      </w:r>
    </w:p>
    <w:p>
      <w:pPr>
        <w:jc w:val="both"/>
        <w:rPr>
          <w:sz w:val="20"/>
          <w:szCs w:val="20"/>
        </w:rPr>
      </w:pPr>
      <w:r>
        <w:rPr>
          <w:sz w:val="20"/>
          <w:szCs w:val="20"/>
        </w:rPr>
        <w:t xml:space="preserve">Analice el video “Derecho a la Huelga” y el documento “derecho a la huelga”, y con base en las respuestas de las siguientes preguntas elabore un cartel sobre el derecho a la huelga: </w:t>
      </w:r>
    </w:p>
    <w:p>
      <w:pPr>
        <w:spacing w:after="0"/>
        <w:jc w:val="both"/>
        <w:rPr>
          <w:i/>
          <w:sz w:val="20"/>
          <w:szCs w:val="20"/>
        </w:rPr>
      </w:pPr>
      <w:r>
        <w:rPr>
          <w:i/>
          <w:sz w:val="20"/>
          <w:szCs w:val="20"/>
        </w:rPr>
        <w:t xml:space="preserve">¿Qué es el Derecho a la Huelga? </w:t>
      </w:r>
    </w:p>
    <w:p>
      <w:pPr>
        <w:spacing w:after="0"/>
        <w:jc w:val="both"/>
        <w:rPr>
          <w:i/>
          <w:sz w:val="20"/>
          <w:szCs w:val="20"/>
        </w:rPr>
      </w:pPr>
      <w:r>
        <w:rPr>
          <w:i/>
          <w:sz w:val="20"/>
          <w:szCs w:val="20"/>
        </w:rPr>
        <w:t>¿Cuáles son las condiciones para el ejercicio del derecho a la Huelga?</w:t>
      </w:r>
    </w:p>
    <w:p>
      <w:pPr>
        <w:spacing w:after="0"/>
        <w:jc w:val="both"/>
        <w:rPr>
          <w:i/>
          <w:sz w:val="20"/>
          <w:szCs w:val="20"/>
        </w:rPr>
      </w:pPr>
      <w:r>
        <w:rPr>
          <w:i/>
          <w:sz w:val="20"/>
          <w:szCs w:val="20"/>
        </w:rPr>
        <w:t>¿Cuáles son las normas nacionales e internacionales que amparan el Derecho a la Huelga?</w:t>
      </w:r>
    </w:p>
    <w:p>
      <w:pPr>
        <w:spacing w:after="0" w:line="240" w:lineRule="auto"/>
        <w:rPr>
          <w:b/>
          <w:sz w:val="20"/>
          <w:szCs w:val="20"/>
        </w:rPr>
      </w:pPr>
    </w:p>
    <w:p>
      <w:pPr>
        <w:pStyle w:val="30"/>
        <w:numPr>
          <w:ilvl w:val="0"/>
          <w:numId w:val="7"/>
        </w:numPr>
        <w:tabs>
          <w:tab w:val="left" w:pos="4320"/>
          <w:tab w:val="left" w:pos="4485"/>
          <w:tab w:val="left" w:pos="5445"/>
        </w:tabs>
        <w:jc w:val="both"/>
        <w:rPr>
          <w:rFonts w:ascii="Arial" w:hAnsi="Arial" w:cs="Arial"/>
          <w:sz w:val="20"/>
          <w:szCs w:val="20"/>
          <w:lang w:val="es-MX"/>
        </w:rPr>
      </w:pPr>
      <w:r>
        <w:rPr>
          <w:rFonts w:ascii="Arial" w:hAnsi="Arial" w:cs="Arial"/>
          <w:b/>
          <w:sz w:val="20"/>
          <w:szCs w:val="20"/>
        </w:rPr>
        <w:tab/>
      </w:r>
    </w:p>
    <w:p>
      <w:pPr>
        <w:spacing w:after="0" w:line="240" w:lineRule="auto"/>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Tomando como referencia la planeación pedagógica y las orientaciones para elaborar guías de aprendizaje citado en la guía de desarrollo curricular</w:t>
      </w: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r>
        <w:rPr>
          <w:rFonts w:ascii="Arial" w:hAnsi="Arial" w:cs="Arial"/>
          <w:b/>
          <w:color w:val="000000" w:themeColor="text1"/>
          <w:sz w:val="20"/>
          <w:szCs w:val="20"/>
          <w14:textFill>
            <w14:solidFill>
              <w14:schemeClr w14:val="tx1"/>
            </w14:solidFill>
          </w14:textFill>
        </w:rPr>
        <w:t>4. ACTIVIDADES DE EVALUACIÓN</w:t>
      </w: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Tome como referencia la técnica e instrumentos de evaluación citados en la guía de Desarrollo Curricular </w:t>
      </w:r>
    </w:p>
    <w:p>
      <w:pPr>
        <w:spacing w:after="0" w:line="240" w:lineRule="auto"/>
        <w:jc w:val="both"/>
        <w:rPr>
          <w:rFonts w:ascii="Arial" w:hAnsi="Arial" w:cs="Arial"/>
          <w:b/>
          <w:color w:val="000000" w:themeColor="text1"/>
          <w:sz w:val="20"/>
          <w:szCs w:val="20"/>
          <w14:textFill>
            <w14:solidFill>
              <w14:schemeClr w14:val="tx1"/>
            </w14:solidFill>
          </w14:textFill>
        </w:rPr>
      </w:pPr>
    </w:p>
    <w:tbl>
      <w:tblPr>
        <w:tblStyle w:val="6"/>
        <w:tblW w:w="976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03"/>
        <w:gridCol w:w="3100"/>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3403" w:type="dxa"/>
            <w:shd w:val="clear" w:color="auto" w:fill="A6A6A6"/>
          </w:tcPr>
          <w:p>
            <w:pPr>
              <w:jc w:val="center"/>
              <w:rPr>
                <w:rFonts w:cs="Calibri"/>
                <w:b/>
                <w:sz w:val="20"/>
                <w:szCs w:val="20"/>
              </w:rPr>
            </w:pPr>
            <w:r>
              <w:rPr>
                <w:rFonts w:cs="Calibri"/>
                <w:b/>
                <w:sz w:val="20"/>
                <w:szCs w:val="20"/>
              </w:rPr>
              <w:t>Evidencias de Aprendizaje</w:t>
            </w:r>
          </w:p>
        </w:tc>
        <w:tc>
          <w:tcPr>
            <w:tcW w:w="3100" w:type="dxa"/>
            <w:shd w:val="clear" w:color="auto" w:fill="A6A6A6"/>
          </w:tcPr>
          <w:p>
            <w:pPr>
              <w:jc w:val="center"/>
              <w:rPr>
                <w:rFonts w:cs="Calibri"/>
                <w:b/>
                <w:sz w:val="20"/>
                <w:szCs w:val="20"/>
              </w:rPr>
            </w:pPr>
            <w:r>
              <w:rPr>
                <w:rFonts w:cs="Calibri"/>
                <w:b/>
                <w:sz w:val="20"/>
                <w:szCs w:val="20"/>
              </w:rPr>
              <w:t>Criterios de Evaluación</w:t>
            </w:r>
          </w:p>
        </w:tc>
        <w:tc>
          <w:tcPr>
            <w:tcW w:w="3260" w:type="dxa"/>
            <w:shd w:val="clear" w:color="auto" w:fill="A6A6A6"/>
          </w:tcPr>
          <w:p>
            <w:pPr>
              <w:spacing w:after="0"/>
              <w:jc w:val="center"/>
              <w:rPr>
                <w:rFonts w:cs="Calibri"/>
                <w:b/>
                <w:sz w:val="20"/>
                <w:szCs w:val="20"/>
              </w:rPr>
            </w:pPr>
            <w:r>
              <w:rPr>
                <w:rFonts w:cs="Calibri"/>
                <w:b/>
                <w:sz w:val="20"/>
                <w:szCs w:val="20"/>
              </w:rPr>
              <w:t>Técnicas e Instrumentos de Evaluación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3403" w:type="dxa"/>
          </w:tcPr>
          <w:p>
            <w:pPr>
              <w:rPr>
                <w:rFonts w:cs="Calibri"/>
                <w:b/>
                <w:sz w:val="20"/>
                <w:szCs w:val="20"/>
              </w:rPr>
            </w:pPr>
            <w:r>
              <w:rPr>
                <w:rFonts w:cs="Calibri"/>
                <w:b/>
                <w:sz w:val="20"/>
                <w:szCs w:val="20"/>
              </w:rPr>
              <w:t>Evidencias de Conocimiento:</w:t>
            </w:r>
          </w:p>
          <w:p>
            <w:pPr>
              <w:rPr>
                <w:rFonts w:cs="Calibri"/>
                <w:sz w:val="20"/>
                <w:szCs w:val="20"/>
              </w:rPr>
            </w:pPr>
            <w:r>
              <w:rPr>
                <w:rFonts w:cs="Calibri"/>
                <w:sz w:val="20"/>
                <w:szCs w:val="20"/>
              </w:rPr>
              <w:t xml:space="preserve">Prueba de conocimientos sobre trabajo decente, ciudadanía laboral, derechos individuales y colectivos en el trabajo  </w:t>
            </w:r>
          </w:p>
          <w:p>
            <w:pPr>
              <w:rPr>
                <w:rFonts w:cs="Calibri"/>
                <w:b/>
                <w:sz w:val="20"/>
                <w:szCs w:val="20"/>
              </w:rPr>
            </w:pPr>
          </w:p>
          <w:p>
            <w:pPr>
              <w:rPr>
                <w:rFonts w:cs="Calibri"/>
                <w:b/>
                <w:sz w:val="20"/>
                <w:szCs w:val="20"/>
              </w:rPr>
            </w:pPr>
            <w:r>
              <w:rPr>
                <w:rFonts w:cs="Calibri"/>
                <w:b/>
                <w:sz w:val="20"/>
                <w:szCs w:val="20"/>
              </w:rPr>
              <w:t>Evidencias de Proceso:</w:t>
            </w:r>
          </w:p>
          <w:p>
            <w:pPr>
              <w:rPr>
                <w:rFonts w:cs="Calibri"/>
                <w:b/>
                <w:sz w:val="20"/>
                <w:szCs w:val="20"/>
              </w:rPr>
            </w:pPr>
            <w:r>
              <w:rPr>
                <w:rFonts w:cs="Calibri"/>
                <w:sz w:val="20"/>
                <w:szCs w:val="20"/>
              </w:rPr>
              <w:t>Argumenta el trabajo decente en el marco de los derechos humanos y fundamentales en el trabajo.</w:t>
            </w:r>
          </w:p>
          <w:p>
            <w:pPr>
              <w:rPr>
                <w:rFonts w:cs="Calibri"/>
                <w:b/>
                <w:sz w:val="20"/>
                <w:szCs w:val="20"/>
              </w:rPr>
            </w:pPr>
            <w:r>
              <w:rPr>
                <w:rFonts w:cs="Calibri"/>
                <w:b/>
                <w:sz w:val="20"/>
                <w:szCs w:val="20"/>
              </w:rPr>
              <w:t>Evidencias de Producto:</w:t>
            </w:r>
          </w:p>
          <w:p>
            <w:pPr>
              <w:rPr>
                <w:rFonts w:cs="Calibri"/>
                <w:sz w:val="20"/>
                <w:szCs w:val="20"/>
              </w:rPr>
            </w:pPr>
            <w:r>
              <w:rPr>
                <w:rFonts w:cs="Calibri"/>
                <w:sz w:val="20"/>
                <w:szCs w:val="20"/>
              </w:rPr>
              <w:t>Gráfico Negociación Colectiva</w:t>
            </w:r>
          </w:p>
          <w:p>
            <w:pPr>
              <w:rPr>
                <w:rFonts w:cs="Calibri"/>
                <w:sz w:val="20"/>
                <w:szCs w:val="20"/>
              </w:rPr>
            </w:pPr>
          </w:p>
          <w:p>
            <w:pPr>
              <w:rPr>
                <w:rFonts w:cs="Calibri"/>
                <w:sz w:val="20"/>
                <w:szCs w:val="20"/>
              </w:rPr>
            </w:pPr>
            <w:r>
              <w:rPr>
                <w:rFonts w:cs="Calibri"/>
                <w:sz w:val="20"/>
                <w:szCs w:val="20"/>
              </w:rPr>
              <w:t>Cartelera derecho a la huelga</w:t>
            </w:r>
          </w:p>
        </w:tc>
        <w:tc>
          <w:tcPr>
            <w:tcW w:w="3100" w:type="dxa"/>
          </w:tcPr>
          <w:p>
            <w:pPr>
              <w:rPr>
                <w:rFonts w:cs="Calibri"/>
                <w:sz w:val="20"/>
                <w:szCs w:val="20"/>
              </w:rPr>
            </w:pPr>
          </w:p>
          <w:p>
            <w:pPr>
              <w:rPr>
                <w:rFonts w:cs="Calibri"/>
                <w:sz w:val="20"/>
                <w:szCs w:val="20"/>
              </w:rPr>
            </w:pPr>
            <w:r>
              <w:rPr>
                <w:rFonts w:cs="Calibri"/>
                <w:sz w:val="20"/>
                <w:szCs w:val="20"/>
              </w:rPr>
              <w:t xml:space="preserve">Respuesta a preguntas de evocación, comprensión y aplicación sobre trabajo decente, ciudadanía laboral, derechos individuales y colectivos en el trabajo  </w:t>
            </w:r>
          </w:p>
          <w:p>
            <w:pPr>
              <w:spacing w:after="0" w:line="240" w:lineRule="auto"/>
              <w:rPr>
                <w:rFonts w:cs="Calibri"/>
                <w:sz w:val="20"/>
                <w:szCs w:val="20"/>
              </w:rPr>
            </w:pPr>
          </w:p>
          <w:p>
            <w:pPr>
              <w:rPr>
                <w:rFonts w:cs="Calibri"/>
                <w:sz w:val="20"/>
                <w:szCs w:val="20"/>
              </w:rPr>
            </w:pPr>
            <w:r>
              <w:rPr>
                <w:rFonts w:cs="Calibri"/>
                <w:sz w:val="20"/>
                <w:szCs w:val="20"/>
              </w:rPr>
              <w:t xml:space="preserve">Respuestas argumentativas a preguntas de juicios valorativos frente a situaciones problémicas laborales </w:t>
            </w:r>
          </w:p>
          <w:p>
            <w:pPr>
              <w:rPr>
                <w:rFonts w:cs="Calibri"/>
                <w:sz w:val="20"/>
                <w:szCs w:val="20"/>
              </w:rPr>
            </w:pPr>
          </w:p>
          <w:p>
            <w:pPr>
              <w:rPr>
                <w:rFonts w:cs="Calibri"/>
                <w:sz w:val="20"/>
                <w:szCs w:val="20"/>
              </w:rPr>
            </w:pPr>
            <w:r>
              <w:rPr>
                <w:rFonts w:cs="Calibri"/>
                <w:sz w:val="20"/>
                <w:szCs w:val="20"/>
              </w:rPr>
              <w:t>Inclusión de tipos de negociación, características finalidad y normas</w:t>
            </w:r>
          </w:p>
          <w:p>
            <w:pPr>
              <w:rPr>
                <w:rFonts w:cs="Calibri"/>
                <w:sz w:val="20"/>
                <w:szCs w:val="20"/>
              </w:rPr>
            </w:pPr>
          </w:p>
          <w:p>
            <w:pPr>
              <w:rPr>
                <w:rFonts w:cs="Calibri"/>
                <w:sz w:val="20"/>
                <w:szCs w:val="20"/>
              </w:rPr>
            </w:pPr>
            <w:r>
              <w:rPr>
                <w:rFonts w:cs="Calibri"/>
                <w:sz w:val="20"/>
                <w:szCs w:val="20"/>
              </w:rPr>
              <w:t>Inclusión de definición, condiciones y normas para el ejercicio del derecho a la huelga</w:t>
            </w:r>
          </w:p>
        </w:tc>
        <w:tc>
          <w:tcPr>
            <w:tcW w:w="3260" w:type="dxa"/>
          </w:tcPr>
          <w:p>
            <w:pPr>
              <w:rPr>
                <w:rFonts w:cs="Calibri"/>
                <w:sz w:val="20"/>
                <w:szCs w:val="20"/>
              </w:rPr>
            </w:pPr>
          </w:p>
          <w:p>
            <w:pPr>
              <w:rPr>
                <w:rFonts w:cs="Calibri"/>
                <w:sz w:val="20"/>
                <w:szCs w:val="20"/>
              </w:rPr>
            </w:pPr>
            <w:r>
              <w:rPr>
                <w:rFonts w:cs="Calibri"/>
                <w:sz w:val="20"/>
                <w:szCs w:val="20"/>
              </w:rPr>
              <w:t>Formulación de preguntas- Cuestionario</w:t>
            </w:r>
          </w:p>
          <w:p>
            <w:pPr>
              <w:rPr>
                <w:rFonts w:cs="Calibri"/>
                <w:sz w:val="20"/>
                <w:szCs w:val="20"/>
              </w:rPr>
            </w:pPr>
          </w:p>
          <w:p>
            <w:pPr>
              <w:rPr>
                <w:rFonts w:cs="Calibri"/>
                <w:sz w:val="20"/>
                <w:szCs w:val="20"/>
              </w:rPr>
            </w:pPr>
          </w:p>
          <w:p>
            <w:pPr>
              <w:rPr>
                <w:rFonts w:cs="Calibri"/>
                <w:sz w:val="20"/>
                <w:szCs w:val="20"/>
              </w:rPr>
            </w:pPr>
          </w:p>
          <w:p>
            <w:pPr>
              <w:rPr>
                <w:rFonts w:cs="Calibri"/>
                <w:sz w:val="20"/>
                <w:szCs w:val="20"/>
              </w:rPr>
            </w:pPr>
            <w:r>
              <w:rPr>
                <w:rFonts w:cs="Calibri"/>
                <w:sz w:val="20"/>
                <w:szCs w:val="20"/>
              </w:rPr>
              <w:t>Prueba actitudinal relacionada con situaciones problémicas laborales</w:t>
            </w:r>
          </w:p>
          <w:p>
            <w:pPr>
              <w:rPr>
                <w:rFonts w:cs="Calibri"/>
                <w:sz w:val="20"/>
                <w:szCs w:val="20"/>
              </w:rPr>
            </w:pPr>
          </w:p>
          <w:p>
            <w:pPr>
              <w:rPr>
                <w:rFonts w:cs="Calibri"/>
                <w:sz w:val="20"/>
                <w:szCs w:val="20"/>
              </w:rPr>
            </w:pPr>
            <w:r>
              <w:rPr>
                <w:rFonts w:cs="Calibri"/>
                <w:sz w:val="20"/>
                <w:szCs w:val="20"/>
              </w:rPr>
              <w:t>TÉCNICA: Valoración de producto</w:t>
            </w:r>
          </w:p>
          <w:p>
            <w:pPr>
              <w:rPr>
                <w:rFonts w:cs="Calibri"/>
                <w:sz w:val="20"/>
                <w:szCs w:val="20"/>
              </w:rPr>
            </w:pPr>
            <w:r>
              <w:rPr>
                <w:rFonts w:cs="Calibri"/>
                <w:sz w:val="20"/>
                <w:szCs w:val="20"/>
              </w:rPr>
              <w:t>INSTRUMENTO: Lista de chequeo</w:t>
            </w:r>
          </w:p>
        </w:tc>
      </w:tr>
    </w:tbl>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jc w:val="both"/>
        <w:rPr>
          <w:rFonts w:ascii="Arial" w:hAnsi="Arial" w:cs="Arial"/>
          <w:b/>
          <w:sz w:val="20"/>
          <w:szCs w:val="20"/>
        </w:rPr>
      </w:pPr>
      <w:r>
        <w:rPr>
          <w:rFonts w:ascii="Arial" w:hAnsi="Arial" w:cs="Arial"/>
          <w:b/>
          <w:sz w:val="20"/>
          <w:szCs w:val="20"/>
        </w:rPr>
        <w:t>5. GLOSARIO DE TÉRMINOS:</w:t>
      </w:r>
    </w:p>
    <w:p>
      <w:pPr>
        <w:spacing w:after="0" w:line="240" w:lineRule="auto"/>
        <w:jc w:val="both"/>
        <w:rPr>
          <w:sz w:val="20"/>
          <w:szCs w:val="20"/>
        </w:rPr>
      </w:pPr>
      <w:r>
        <w:rPr>
          <w:b/>
          <w:sz w:val="20"/>
          <w:szCs w:val="20"/>
        </w:rPr>
        <w:t xml:space="preserve">Ciudadanía Laboral: </w:t>
      </w:r>
      <w:r>
        <w:rPr>
          <w:sz w:val="20"/>
          <w:szCs w:val="20"/>
        </w:rPr>
        <w:t>La ciudadanía se entiende como un sistema de garantías mediante el cual cada persona es tratada jurídicamente, como un miembro pleno de una sociedad de iguales. Es decir, que todos tengan acceso a los bienes y servicios públicos que les permita una real participación en la vida cultural, social, económica y política en condiciones de igualdad. Así, la ciudadanía laboral funciona como articuladora de la dinámica social, que provee sentido y legitimidad a la acción de los trabajadores mediante procedimientos y métodos para la negociación del conflicto social; la ciudadanía entendida así, según Alonso (2007), “es demanda de derechos, es reparto, pero también es participación, lucha y actividad”</w:t>
      </w:r>
    </w:p>
    <w:p>
      <w:pPr>
        <w:spacing w:after="0" w:line="240" w:lineRule="auto"/>
        <w:jc w:val="both"/>
        <w:rPr>
          <w:sz w:val="20"/>
          <w:szCs w:val="20"/>
        </w:rPr>
      </w:pPr>
      <w:r>
        <w:rPr>
          <w:b/>
          <w:sz w:val="20"/>
          <w:szCs w:val="20"/>
        </w:rPr>
        <w:t>Contrato de trabajo:</w:t>
      </w:r>
      <w:r>
        <w:rPr>
          <w:sz w:val="20"/>
          <w:szCs w:val="20"/>
        </w:rPr>
        <w:t xml:space="preserve"> De acuerdo al código sustantivo del trabajo, en su artículo 22, el contrato de trabajo es aquel por el cual una persona natural, se obliga a prestar un servicio personal a otra persona natural o jurídica, bajo la continuada dependencia o subordinación de la segunda y mediante remuneración.</w:t>
      </w:r>
    </w:p>
    <w:p>
      <w:pPr>
        <w:spacing w:after="0" w:line="240" w:lineRule="auto"/>
        <w:jc w:val="both"/>
        <w:rPr>
          <w:sz w:val="20"/>
          <w:szCs w:val="20"/>
        </w:rPr>
      </w:pPr>
      <w:r>
        <w:rPr>
          <w:b/>
          <w:sz w:val="20"/>
          <w:szCs w:val="20"/>
        </w:rPr>
        <w:t>Diálogo social:</w:t>
      </w:r>
      <w:r>
        <w:rPr>
          <w:sz w:val="20"/>
          <w:szCs w:val="20"/>
        </w:rPr>
        <w:t xml:space="preserve"> En sentido amplio el término "diálogo social" se utiliza para referirse a un tipo de relaciones horizontales entre el Estado y las organizaciones de la sociedad civil (empresas, sindicatos, asociaciones, grupos, comunidades, etc.) con el fin de abordar conjuntamente los problemas sociales y contribuir a elaborar soluciones fundadas en el consenso.</w:t>
      </w:r>
    </w:p>
    <w:p>
      <w:pPr>
        <w:spacing w:after="0" w:line="240" w:lineRule="auto"/>
        <w:jc w:val="both"/>
        <w:rPr>
          <w:sz w:val="20"/>
          <w:szCs w:val="20"/>
        </w:rPr>
      </w:pPr>
      <w:r>
        <w:rPr>
          <w:b/>
          <w:sz w:val="20"/>
          <w:szCs w:val="20"/>
        </w:rPr>
        <w:t>Empleador:</w:t>
      </w:r>
      <w:r>
        <w:rPr>
          <w:sz w:val="20"/>
          <w:szCs w:val="20"/>
        </w:rPr>
        <w:t xml:space="preserve"> Es, en un contrato de trabajo, la parte que provee un puesto de trabajo a una persona física para que preste un servicio personal bajo su dependencia, a cambio del pago de una remuneración o salario. La otra parte del contrato se denomina «trabajador» o empleado.</w:t>
      </w:r>
    </w:p>
    <w:p>
      <w:pPr>
        <w:spacing w:after="0" w:line="240" w:lineRule="auto"/>
        <w:jc w:val="both"/>
        <w:rPr>
          <w:sz w:val="20"/>
          <w:szCs w:val="20"/>
        </w:rPr>
      </w:pPr>
      <w:r>
        <w:rPr>
          <w:b/>
          <w:sz w:val="20"/>
          <w:szCs w:val="20"/>
        </w:rPr>
        <w:t>Explotación Laboral</w:t>
      </w:r>
      <w:r>
        <w:rPr>
          <w:sz w:val="20"/>
          <w:szCs w:val="20"/>
        </w:rPr>
        <w:t>: Se define, en pocas palabras, como recibir un pago inferior al trabajo que se realiza.</w:t>
      </w:r>
    </w:p>
    <w:p>
      <w:pPr>
        <w:spacing w:after="0" w:line="240" w:lineRule="auto"/>
        <w:jc w:val="both"/>
        <w:rPr>
          <w:sz w:val="20"/>
          <w:szCs w:val="20"/>
        </w:rPr>
      </w:pPr>
      <w:r>
        <w:rPr>
          <w:b/>
          <w:sz w:val="20"/>
          <w:szCs w:val="20"/>
        </w:rPr>
        <w:t>Huelga:</w:t>
      </w:r>
      <w:r>
        <w:rPr>
          <w:sz w:val="20"/>
          <w:szCs w:val="20"/>
        </w:rPr>
        <w:t xml:space="preserve"> O paro es la suspensión colectiva de la actividad laboral por parte de los trabajadores con el fin de reivindicar mejoras en las condiciones de trabajo o manifestarse contra recortes en los derechos sociales. Según la Organización Internacional del Trabajo, es uno de los medios legítimos fundamentales de que disponen los ciudadanos y específicamente los trabajadores (a través del movimiento sindical y las organizaciones sindicales) para la promoción y defensa de sus intereses económicos y sociales.</w:t>
      </w:r>
    </w:p>
    <w:p>
      <w:pPr>
        <w:spacing w:after="0" w:line="240" w:lineRule="auto"/>
        <w:jc w:val="both"/>
        <w:rPr>
          <w:sz w:val="20"/>
          <w:szCs w:val="20"/>
        </w:rPr>
      </w:pPr>
      <w:r>
        <w:rPr>
          <w:b/>
          <w:sz w:val="20"/>
          <w:szCs w:val="20"/>
        </w:rPr>
        <w:t>Negociación colectiva:</w:t>
      </w:r>
      <w:r>
        <w:rPr>
          <w:sz w:val="20"/>
          <w:szCs w:val="20"/>
        </w:rPr>
        <w:t xml:space="preserve"> Es aquella que se realiza entre los trabajadores de una empresa o sector, normalmente (aunque no siempre) reunidos a través de un sindicato o grupo de sindicatos y la empresa o representantes de empresas del sector. La finalidad de la negociación es llegar a un acuerdo en cuanto a las condiciones laborales aplicables a la generalidad de los trabajadores del ámbito en el que se circunscribe la negociación (contrato o convenio colectivo de trabajo). La negociación colectiva es una manifestación particular del diálogo social, y está considerado como un derecho fundamental básico integrante de la libertad sindical.</w:t>
      </w:r>
    </w:p>
    <w:p>
      <w:pPr>
        <w:spacing w:after="0" w:line="240" w:lineRule="auto"/>
        <w:jc w:val="both"/>
        <w:rPr>
          <w:sz w:val="20"/>
          <w:szCs w:val="20"/>
        </w:rPr>
      </w:pPr>
      <w:r>
        <w:rPr>
          <w:b/>
          <w:sz w:val="20"/>
          <w:szCs w:val="20"/>
        </w:rPr>
        <w:t>Sindicato:</w:t>
      </w:r>
      <w:r>
        <w:rPr>
          <w:sz w:val="20"/>
          <w:szCs w:val="20"/>
        </w:rPr>
        <w:t xml:space="preserve"> Un sindicato es una organización integrada por trabajadores en defensa y promoción de sus intereses sociales, económicos y profesionales relacionados con su actividad laboral, respecto al centro de producción (fábrica, taller, empresa) o al empleador con el que están relacionados contractualmente.</w:t>
      </w:r>
    </w:p>
    <w:p>
      <w:pPr>
        <w:spacing w:after="0" w:line="240" w:lineRule="auto"/>
        <w:jc w:val="both"/>
        <w:rPr>
          <w:sz w:val="20"/>
          <w:szCs w:val="20"/>
        </w:rPr>
      </w:pPr>
      <w:r>
        <w:rPr>
          <w:b/>
          <w:sz w:val="20"/>
          <w:szCs w:val="20"/>
        </w:rPr>
        <w:t>Trabajo decente:</w:t>
      </w:r>
      <w:r>
        <w:rPr>
          <w:sz w:val="20"/>
          <w:szCs w:val="20"/>
        </w:rPr>
        <w:t xml:space="preserve"> Es un concepto propuesto por la Organización Internacional del Trabajo para establecer las características que debe reunir una relación laboral para considerar que cumple los estándares laborales internacionales, de manera que el trabajo se realice en condiciones de libertad, igualdad, seguridad y dignidad humana.</w:t>
      </w:r>
    </w:p>
    <w:p>
      <w:pPr>
        <w:spacing w:after="0" w:line="240" w:lineRule="auto"/>
        <w:jc w:val="both"/>
        <w:rPr>
          <w:sz w:val="20"/>
          <w:szCs w:val="20"/>
        </w:rPr>
      </w:pPr>
      <w:r>
        <w:rPr>
          <w:b/>
          <w:sz w:val="20"/>
          <w:szCs w:val="20"/>
        </w:rPr>
        <w:t>Trabajador:</w:t>
      </w:r>
      <w:r>
        <w:rPr>
          <w:sz w:val="20"/>
          <w:szCs w:val="20"/>
        </w:rPr>
        <w:t xml:space="preserve"> Un trabajador o trabajadora es una persona que con la edad legal suficiente presta sus servicios retribuidos. Cuando no tiene la edad suficiente, se considera trabajo infantil. Si no presta los servicios de forma voluntaria, se considera esclavitud o servidumbre.</w:t>
      </w:r>
    </w:p>
    <w:p>
      <w:pPr>
        <w:jc w:val="both"/>
        <w:rPr>
          <w:rFonts w:ascii="Arial" w:hAnsi="Arial" w:cs="Arial"/>
          <w:b/>
          <w:sz w:val="20"/>
          <w:szCs w:val="20"/>
        </w:rPr>
      </w:pPr>
    </w:p>
    <w:p>
      <w:pPr>
        <w:jc w:val="both"/>
        <w:rPr>
          <w:rFonts w:ascii="Arial" w:hAnsi="Arial" w:cs="Arial"/>
          <w:b/>
          <w:sz w:val="20"/>
          <w:szCs w:val="20"/>
        </w:rPr>
      </w:pPr>
      <w:r>
        <w:rPr>
          <w:rFonts w:ascii="Arial" w:hAnsi="Arial" w:cs="Arial"/>
          <w:b/>
          <w:sz w:val="20"/>
          <w:szCs w:val="20"/>
        </w:rPr>
        <w:t>6. REFERENTES BILBIOGRÁFICOS</w:t>
      </w:r>
    </w:p>
    <w:p>
      <w:pPr>
        <w:numPr>
          <w:ilvl w:val="0"/>
          <w:numId w:val="5"/>
        </w:num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000000"/>
          <w:sz w:val="20"/>
          <w:szCs w:val="20"/>
        </w:rPr>
      </w:pPr>
      <w:r>
        <w:rPr>
          <w:color w:val="000000"/>
          <w:sz w:val="20"/>
          <w:szCs w:val="20"/>
        </w:rPr>
        <w:t xml:space="preserve">Francisco Serna Giraldo y Elver Herrera Arenas “Fundamentación y Defensa de los Derechos Laborales” – Escuela de Liderazgo Sindical democrático. Escuela Nacional Sindical. </w:t>
      </w:r>
    </w:p>
    <w:p>
      <w:pPr>
        <w:numPr>
          <w:ilvl w:val="0"/>
          <w:numId w:val="5"/>
        </w:numPr>
        <w:pBdr>
          <w:top w:val="none" w:color="auto" w:sz="0" w:space="0"/>
          <w:left w:val="none" w:color="auto" w:sz="0" w:space="0"/>
          <w:bottom w:val="none" w:color="auto" w:sz="0" w:space="0"/>
          <w:right w:val="none" w:color="auto" w:sz="0" w:space="0"/>
          <w:between w:val="none" w:color="auto" w:sz="0" w:space="0"/>
        </w:pBdr>
        <w:spacing w:after="0" w:line="240" w:lineRule="auto"/>
        <w:jc w:val="both"/>
        <w:rPr>
          <w:color w:val="000000"/>
          <w:sz w:val="20"/>
          <w:szCs w:val="20"/>
        </w:rPr>
      </w:pPr>
      <w:r>
        <w:rPr>
          <w:color w:val="000000"/>
          <w:sz w:val="20"/>
          <w:szCs w:val="20"/>
        </w:rPr>
        <w:t>El trabajo como derecho humano fundamental Retomado de “Didácticas para la ciudadanía laboral”, Escuela Nacional Sindical.</w:t>
      </w:r>
    </w:p>
    <w:p>
      <w:pPr>
        <w:numPr>
          <w:ilvl w:val="0"/>
          <w:numId w:val="5"/>
        </w:numPr>
        <w:pBdr>
          <w:top w:val="none" w:color="auto" w:sz="0" w:space="0"/>
          <w:left w:val="none" w:color="auto" w:sz="0" w:space="0"/>
          <w:bottom w:val="none" w:color="auto" w:sz="0" w:space="0"/>
          <w:right w:val="none" w:color="auto" w:sz="0" w:space="0"/>
          <w:between w:val="none" w:color="auto" w:sz="0" w:space="0"/>
        </w:pBdr>
        <w:spacing w:after="0" w:line="240" w:lineRule="auto"/>
        <w:jc w:val="both"/>
        <w:rPr>
          <w:i/>
          <w:color w:val="000000"/>
          <w:sz w:val="20"/>
          <w:szCs w:val="20"/>
        </w:rPr>
      </w:pPr>
      <w:r>
        <w:rPr>
          <w:color w:val="000000"/>
          <w:sz w:val="20"/>
          <w:szCs w:val="20"/>
        </w:rPr>
        <w:t>PRINCIPIOS DE LA OIT SOBRE EL DERECHO DE HUELGA. Bernard GERNIGON, Alberto ODERO y Horacio GUIDO, Revista internacional del trabajo volumen 17, (1998 Num.4) Ginebra Suiza</w:t>
      </w:r>
    </w:p>
    <w:p>
      <w:pPr>
        <w:numPr>
          <w:ilvl w:val="0"/>
          <w:numId w:val="5"/>
        </w:numPr>
        <w:pBdr>
          <w:top w:val="none" w:color="auto" w:sz="0" w:space="0"/>
          <w:left w:val="none" w:color="auto" w:sz="0" w:space="0"/>
          <w:bottom w:val="none" w:color="auto" w:sz="0" w:space="0"/>
          <w:right w:val="none" w:color="auto" w:sz="0" w:space="0"/>
          <w:between w:val="none" w:color="auto" w:sz="0" w:space="0"/>
        </w:pBdr>
        <w:shd w:val="clear" w:color="auto" w:fill="FFFFFF"/>
        <w:rPr>
          <w:color w:val="000000"/>
          <w:sz w:val="20"/>
          <w:szCs w:val="20"/>
        </w:rPr>
      </w:pPr>
      <w:r>
        <w:rPr>
          <w:color w:val="000000"/>
          <w:sz w:val="20"/>
          <w:szCs w:val="20"/>
        </w:rPr>
        <w:t>La negociación colectiva. Normas de la OIT y principios de los órganos de control. OIT Año 2000</w:t>
      </w:r>
    </w:p>
    <w:p>
      <w:pPr>
        <w:jc w:val="both"/>
        <w:rPr>
          <w:rFonts w:ascii="Arial" w:hAnsi="Arial" w:cs="Arial"/>
          <w:b/>
          <w:sz w:val="20"/>
          <w:szCs w:val="20"/>
        </w:rPr>
      </w:pPr>
      <w:r>
        <w:rPr>
          <w:rFonts w:ascii="Arial" w:hAnsi="Arial" w:cs="Arial"/>
          <w:b/>
          <w:sz w:val="20"/>
          <w:szCs w:val="20"/>
        </w:rPr>
        <w:t>7. CONTROL DEL DOCUMENTO</w:t>
      </w:r>
    </w:p>
    <w:tbl>
      <w:tblPr>
        <w:tblStyle w:val="6"/>
        <w:tblW w:w="97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694"/>
        <w:gridCol w:w="1559"/>
        <w:gridCol w:w="170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tcBorders>
              <w:top w:val="nil"/>
              <w:left w:val="nil"/>
            </w:tcBorders>
          </w:tcPr>
          <w:p>
            <w:pPr>
              <w:spacing w:after="0" w:line="240" w:lineRule="auto"/>
              <w:jc w:val="both"/>
              <w:rPr>
                <w:b/>
                <w:sz w:val="20"/>
                <w:szCs w:val="20"/>
              </w:rPr>
            </w:pPr>
          </w:p>
        </w:tc>
        <w:tc>
          <w:tcPr>
            <w:tcW w:w="2694" w:type="dxa"/>
          </w:tcPr>
          <w:p>
            <w:pPr>
              <w:spacing w:after="0" w:line="240" w:lineRule="auto"/>
              <w:jc w:val="both"/>
              <w:rPr>
                <w:b/>
                <w:sz w:val="20"/>
                <w:szCs w:val="20"/>
              </w:rPr>
            </w:pPr>
            <w:r>
              <w:rPr>
                <w:b/>
                <w:sz w:val="20"/>
                <w:szCs w:val="20"/>
              </w:rPr>
              <w:t>Nombre</w:t>
            </w:r>
          </w:p>
        </w:tc>
        <w:tc>
          <w:tcPr>
            <w:tcW w:w="1559" w:type="dxa"/>
          </w:tcPr>
          <w:p>
            <w:pPr>
              <w:spacing w:after="0" w:line="240" w:lineRule="auto"/>
              <w:jc w:val="both"/>
              <w:rPr>
                <w:b/>
                <w:sz w:val="20"/>
                <w:szCs w:val="20"/>
              </w:rPr>
            </w:pPr>
            <w:r>
              <w:rPr>
                <w:b/>
                <w:sz w:val="20"/>
                <w:szCs w:val="20"/>
              </w:rPr>
              <w:t>Cargo</w:t>
            </w:r>
          </w:p>
        </w:tc>
        <w:tc>
          <w:tcPr>
            <w:tcW w:w="1701" w:type="dxa"/>
          </w:tcPr>
          <w:p>
            <w:pPr>
              <w:spacing w:after="0" w:line="240" w:lineRule="auto"/>
              <w:jc w:val="both"/>
              <w:rPr>
                <w:b/>
                <w:sz w:val="20"/>
                <w:szCs w:val="20"/>
              </w:rPr>
            </w:pPr>
            <w:r>
              <w:rPr>
                <w:b/>
                <w:sz w:val="20"/>
                <w:szCs w:val="20"/>
              </w:rPr>
              <w:t>Dependencia</w:t>
            </w:r>
          </w:p>
        </w:tc>
        <w:tc>
          <w:tcPr>
            <w:tcW w:w="2551" w:type="dxa"/>
          </w:tcPr>
          <w:p>
            <w:pPr>
              <w:spacing w:after="0" w:line="240" w:lineRule="auto"/>
              <w:jc w:val="both"/>
              <w:rPr>
                <w:b/>
                <w:sz w:val="20"/>
                <w:szCs w:val="20"/>
              </w:rPr>
            </w:pPr>
            <w:r>
              <w:rPr>
                <w:b/>
                <w:sz w:val="20"/>
                <w:szCs w:val="20"/>
              </w:rPr>
              <w:t>Fecha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tcPr>
          <w:p>
            <w:pPr>
              <w:spacing w:after="0" w:line="240" w:lineRule="auto"/>
              <w:jc w:val="both"/>
              <w:rPr>
                <w:sz w:val="20"/>
                <w:szCs w:val="20"/>
              </w:rPr>
            </w:pPr>
            <w:r>
              <w:rPr>
                <w:sz w:val="20"/>
                <w:szCs w:val="20"/>
              </w:rPr>
              <w:t>Autor (es)</w:t>
            </w:r>
          </w:p>
        </w:tc>
        <w:tc>
          <w:tcPr>
            <w:tcW w:w="2694" w:type="dxa"/>
          </w:tcPr>
          <w:p>
            <w:pPr>
              <w:spacing w:after="0" w:line="240" w:lineRule="auto"/>
              <w:jc w:val="both"/>
              <w:rPr>
                <w:sz w:val="20"/>
                <w:szCs w:val="20"/>
              </w:rPr>
            </w:pPr>
            <w:r>
              <w:rPr>
                <w:sz w:val="20"/>
                <w:szCs w:val="20"/>
              </w:rPr>
              <w:t>Luis Hernando Vélez Herrera</w:t>
            </w:r>
          </w:p>
        </w:tc>
        <w:tc>
          <w:tcPr>
            <w:tcW w:w="1559" w:type="dxa"/>
          </w:tcPr>
          <w:p>
            <w:pPr>
              <w:spacing w:after="0" w:line="240" w:lineRule="auto"/>
              <w:jc w:val="both"/>
              <w:rPr>
                <w:sz w:val="20"/>
                <w:szCs w:val="20"/>
              </w:rPr>
            </w:pPr>
            <w:r>
              <w:rPr>
                <w:sz w:val="20"/>
                <w:szCs w:val="20"/>
              </w:rPr>
              <w:t>Instructor</w:t>
            </w:r>
          </w:p>
        </w:tc>
        <w:tc>
          <w:tcPr>
            <w:tcW w:w="1701" w:type="dxa"/>
          </w:tcPr>
          <w:p>
            <w:pPr>
              <w:spacing w:after="0" w:line="240" w:lineRule="auto"/>
              <w:jc w:val="both"/>
              <w:rPr>
                <w:sz w:val="20"/>
                <w:szCs w:val="20"/>
              </w:rPr>
            </w:pPr>
            <w:r>
              <w:rPr>
                <w:sz w:val="20"/>
                <w:szCs w:val="20"/>
              </w:rPr>
              <w:t>Regional Boyacá</w:t>
            </w:r>
          </w:p>
        </w:tc>
        <w:tc>
          <w:tcPr>
            <w:tcW w:w="2551" w:type="dxa"/>
          </w:tcPr>
          <w:p>
            <w:pPr>
              <w:spacing w:after="0" w:line="240" w:lineRule="auto"/>
              <w:jc w:val="both"/>
              <w:rPr>
                <w:sz w:val="20"/>
                <w:szCs w:val="20"/>
              </w:rPr>
            </w:pPr>
            <w:r>
              <w:rPr>
                <w:sz w:val="20"/>
                <w:szCs w:val="20"/>
              </w:rPr>
              <w:t>Septiembre 2017</w:t>
            </w:r>
          </w:p>
        </w:tc>
      </w:tr>
    </w:tbl>
    <w:p>
      <w:pPr>
        <w:jc w:val="both"/>
        <w:rPr>
          <w:rFonts w:ascii="Arial" w:hAnsi="Arial" w:cs="Arial"/>
          <w:b/>
          <w:sz w:val="20"/>
          <w:szCs w:val="20"/>
        </w:rPr>
      </w:pPr>
    </w:p>
    <w:p>
      <w:pPr>
        <w:rPr>
          <w:rFonts w:ascii="Arial" w:hAnsi="Arial" w:cs="Arial"/>
          <w:sz w:val="20"/>
          <w:szCs w:val="20"/>
        </w:rPr>
      </w:pPr>
    </w:p>
    <w:p>
      <w:pPr>
        <w:rPr>
          <w:rFonts w:ascii="Arial" w:hAnsi="Arial" w:cs="Arial"/>
          <w:b/>
          <w:sz w:val="20"/>
          <w:szCs w:val="20"/>
        </w:rPr>
      </w:pPr>
      <w:r>
        <w:rPr>
          <w:rFonts w:ascii="Arial" w:hAnsi="Arial" w:cs="Arial"/>
          <w:b/>
          <w:sz w:val="20"/>
          <w:szCs w:val="20"/>
        </w:rPr>
        <w:t xml:space="preserve">8. CONTROL DE CAMBIOS </w:t>
      </w:r>
      <w:r>
        <w:rPr>
          <w:rFonts w:ascii="Arial" w:hAnsi="Arial" w:cs="Arial"/>
          <w:sz w:val="20"/>
          <w:szCs w:val="20"/>
        </w:rPr>
        <w:t>(diligenciar únicamente si realiza ajustes a la guía)</w:t>
      </w:r>
    </w:p>
    <w:tbl>
      <w:tblPr>
        <w:tblStyle w:val="6"/>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05"/>
        <w:gridCol w:w="2582"/>
        <w:gridCol w:w="1536"/>
        <w:gridCol w:w="1577"/>
        <w:gridCol w:w="1182"/>
        <w:gridCol w:w="1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tcBorders>
              <w:top w:val="nil"/>
              <w:left w:val="nil"/>
            </w:tcBorders>
            <w:vAlign w:val="center"/>
          </w:tcPr>
          <w:p>
            <w:pPr>
              <w:spacing w:after="0" w:line="240" w:lineRule="auto"/>
              <w:jc w:val="center"/>
              <w:rPr>
                <w:b/>
                <w:sz w:val="20"/>
                <w:szCs w:val="20"/>
              </w:rPr>
            </w:pPr>
          </w:p>
        </w:tc>
        <w:tc>
          <w:tcPr>
            <w:tcW w:w="2582" w:type="dxa"/>
            <w:vAlign w:val="center"/>
          </w:tcPr>
          <w:p>
            <w:pPr>
              <w:spacing w:after="0" w:line="240" w:lineRule="auto"/>
              <w:jc w:val="center"/>
              <w:rPr>
                <w:b/>
                <w:sz w:val="20"/>
                <w:szCs w:val="20"/>
              </w:rPr>
            </w:pPr>
            <w:r>
              <w:rPr>
                <w:b/>
                <w:sz w:val="20"/>
                <w:szCs w:val="20"/>
              </w:rPr>
              <w:t>Nombre</w:t>
            </w:r>
          </w:p>
        </w:tc>
        <w:tc>
          <w:tcPr>
            <w:tcW w:w="1536" w:type="dxa"/>
            <w:vAlign w:val="center"/>
          </w:tcPr>
          <w:p>
            <w:pPr>
              <w:spacing w:after="0" w:line="240" w:lineRule="auto"/>
              <w:jc w:val="center"/>
              <w:rPr>
                <w:b/>
                <w:sz w:val="20"/>
                <w:szCs w:val="20"/>
              </w:rPr>
            </w:pPr>
            <w:r>
              <w:rPr>
                <w:b/>
                <w:sz w:val="20"/>
                <w:szCs w:val="20"/>
              </w:rPr>
              <w:t>Cargo</w:t>
            </w:r>
          </w:p>
        </w:tc>
        <w:tc>
          <w:tcPr>
            <w:tcW w:w="1577" w:type="dxa"/>
            <w:vAlign w:val="center"/>
          </w:tcPr>
          <w:p>
            <w:pPr>
              <w:spacing w:after="0" w:line="240" w:lineRule="auto"/>
              <w:jc w:val="center"/>
              <w:rPr>
                <w:b/>
                <w:sz w:val="20"/>
                <w:szCs w:val="20"/>
              </w:rPr>
            </w:pPr>
            <w:r>
              <w:rPr>
                <w:b/>
                <w:sz w:val="20"/>
                <w:szCs w:val="20"/>
              </w:rPr>
              <w:t>Dependencia</w:t>
            </w:r>
          </w:p>
        </w:tc>
        <w:tc>
          <w:tcPr>
            <w:tcW w:w="1182" w:type="dxa"/>
            <w:vAlign w:val="center"/>
          </w:tcPr>
          <w:p>
            <w:pPr>
              <w:spacing w:after="0" w:line="240" w:lineRule="auto"/>
              <w:jc w:val="center"/>
              <w:rPr>
                <w:b/>
                <w:sz w:val="20"/>
                <w:szCs w:val="20"/>
              </w:rPr>
            </w:pPr>
            <w:r>
              <w:rPr>
                <w:b/>
                <w:sz w:val="20"/>
                <w:szCs w:val="20"/>
              </w:rPr>
              <w:t>Fecha</w:t>
            </w:r>
          </w:p>
        </w:tc>
        <w:tc>
          <w:tcPr>
            <w:tcW w:w="1416" w:type="dxa"/>
            <w:vAlign w:val="center"/>
          </w:tcPr>
          <w:p>
            <w:pPr>
              <w:spacing w:after="0" w:line="240" w:lineRule="auto"/>
              <w:jc w:val="center"/>
              <w:rPr>
                <w:b/>
                <w:sz w:val="20"/>
                <w:szCs w:val="20"/>
              </w:rPr>
            </w:pPr>
            <w:r>
              <w:rPr>
                <w:b/>
                <w:sz w:val="20"/>
                <w:szCs w:val="20"/>
              </w:rPr>
              <w:t>Razón del Cambio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restart"/>
            <w:vAlign w:val="center"/>
          </w:tcPr>
          <w:p>
            <w:pPr>
              <w:spacing w:after="0" w:line="240" w:lineRule="auto"/>
              <w:jc w:val="center"/>
              <w:rPr>
                <w:sz w:val="20"/>
                <w:szCs w:val="20"/>
              </w:rPr>
            </w:pPr>
            <w:r>
              <w:rPr>
                <w:sz w:val="20"/>
                <w:szCs w:val="20"/>
              </w:rPr>
              <w:t>Autor (es)</w:t>
            </w:r>
          </w:p>
        </w:tc>
        <w:tc>
          <w:tcPr>
            <w:tcW w:w="2582" w:type="dxa"/>
            <w:vAlign w:val="center"/>
          </w:tcPr>
          <w:p>
            <w:pPr>
              <w:spacing w:after="0" w:line="240" w:lineRule="auto"/>
              <w:jc w:val="center"/>
              <w:rPr>
                <w:sz w:val="20"/>
                <w:szCs w:val="20"/>
              </w:rPr>
            </w:pPr>
            <w:r>
              <w:rPr>
                <w:sz w:val="20"/>
                <w:szCs w:val="20"/>
              </w:rPr>
              <w:t>Luis Hernando Vélez Herrera</w:t>
            </w:r>
          </w:p>
        </w:tc>
        <w:tc>
          <w:tcPr>
            <w:tcW w:w="1536" w:type="dxa"/>
            <w:vAlign w:val="center"/>
          </w:tcPr>
          <w:p>
            <w:pPr>
              <w:spacing w:after="0" w:line="240" w:lineRule="auto"/>
              <w:jc w:val="center"/>
              <w:rPr>
                <w:sz w:val="20"/>
                <w:szCs w:val="20"/>
              </w:rPr>
            </w:pPr>
            <w:r>
              <w:rPr>
                <w:sz w:val="20"/>
                <w:szCs w:val="20"/>
              </w:rPr>
              <w:t>Instructor</w:t>
            </w:r>
          </w:p>
        </w:tc>
        <w:tc>
          <w:tcPr>
            <w:tcW w:w="1577" w:type="dxa"/>
            <w:vAlign w:val="center"/>
          </w:tcPr>
          <w:p>
            <w:pPr>
              <w:spacing w:after="0" w:line="240" w:lineRule="auto"/>
              <w:jc w:val="center"/>
              <w:rPr>
                <w:sz w:val="20"/>
                <w:szCs w:val="20"/>
              </w:rPr>
            </w:pPr>
            <w:r>
              <w:rPr>
                <w:sz w:val="20"/>
                <w:szCs w:val="20"/>
              </w:rPr>
              <w:t>Regional Boyacá</w:t>
            </w:r>
          </w:p>
        </w:tc>
        <w:tc>
          <w:tcPr>
            <w:tcW w:w="1182" w:type="dxa"/>
            <w:vAlign w:val="center"/>
          </w:tcPr>
          <w:p>
            <w:pPr>
              <w:spacing w:after="0" w:line="240" w:lineRule="auto"/>
              <w:jc w:val="center"/>
              <w:rPr>
                <w:sz w:val="20"/>
                <w:szCs w:val="20"/>
              </w:rPr>
            </w:pPr>
            <w:r>
              <w:rPr>
                <w:sz w:val="20"/>
                <w:szCs w:val="20"/>
              </w:rPr>
              <w:t>Junio</w:t>
            </w:r>
          </w:p>
          <w:p>
            <w:pPr>
              <w:spacing w:after="0" w:line="240" w:lineRule="auto"/>
              <w:jc w:val="center"/>
              <w:rPr>
                <w:sz w:val="20"/>
                <w:szCs w:val="20"/>
              </w:rPr>
            </w:pPr>
            <w:r>
              <w:rPr>
                <w:sz w:val="20"/>
                <w:szCs w:val="20"/>
              </w:rPr>
              <w:t>2018</w:t>
            </w:r>
          </w:p>
        </w:tc>
        <w:tc>
          <w:tcPr>
            <w:tcW w:w="1416" w:type="dxa"/>
            <w:vAlign w:val="center"/>
          </w:tcPr>
          <w:p>
            <w:pPr>
              <w:spacing w:after="0" w:line="240" w:lineRule="auto"/>
              <w:jc w:val="center"/>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spacing w:after="0"/>
              <w:rPr>
                <w:sz w:val="20"/>
                <w:szCs w:val="20"/>
              </w:rPr>
            </w:pPr>
          </w:p>
        </w:tc>
        <w:tc>
          <w:tcPr>
            <w:tcW w:w="2582" w:type="dxa"/>
            <w:vAlign w:val="center"/>
          </w:tcPr>
          <w:p>
            <w:pPr>
              <w:spacing w:after="0" w:line="240" w:lineRule="auto"/>
              <w:jc w:val="center"/>
              <w:rPr>
                <w:sz w:val="20"/>
                <w:szCs w:val="20"/>
              </w:rPr>
            </w:pPr>
            <w:r>
              <w:rPr>
                <w:sz w:val="20"/>
                <w:szCs w:val="20"/>
              </w:rPr>
              <w:t>Hernando Oviedo Vera</w:t>
            </w:r>
          </w:p>
        </w:tc>
        <w:tc>
          <w:tcPr>
            <w:tcW w:w="1536" w:type="dxa"/>
            <w:vAlign w:val="center"/>
          </w:tcPr>
          <w:p>
            <w:pPr>
              <w:spacing w:after="0" w:line="240" w:lineRule="auto"/>
              <w:jc w:val="center"/>
              <w:rPr>
                <w:sz w:val="20"/>
                <w:szCs w:val="20"/>
              </w:rPr>
            </w:pPr>
            <w:r>
              <w:rPr>
                <w:sz w:val="20"/>
                <w:szCs w:val="20"/>
              </w:rPr>
              <w:t>Profesional</w:t>
            </w:r>
          </w:p>
        </w:tc>
        <w:tc>
          <w:tcPr>
            <w:tcW w:w="1577" w:type="dxa"/>
            <w:vAlign w:val="center"/>
          </w:tcPr>
          <w:p>
            <w:pPr>
              <w:spacing w:after="0" w:line="240" w:lineRule="auto"/>
              <w:jc w:val="center"/>
              <w:rPr>
                <w:sz w:val="20"/>
                <w:szCs w:val="20"/>
              </w:rPr>
            </w:pPr>
            <w:r>
              <w:rPr>
                <w:sz w:val="20"/>
                <w:szCs w:val="20"/>
              </w:rPr>
              <w:t>ENI</w:t>
            </w:r>
          </w:p>
        </w:tc>
        <w:tc>
          <w:tcPr>
            <w:tcW w:w="1182" w:type="dxa"/>
            <w:vAlign w:val="center"/>
          </w:tcPr>
          <w:p>
            <w:pPr>
              <w:spacing w:after="0" w:line="240" w:lineRule="auto"/>
              <w:jc w:val="center"/>
              <w:rPr>
                <w:sz w:val="20"/>
                <w:szCs w:val="20"/>
              </w:rPr>
            </w:pPr>
            <w:r>
              <w:rPr>
                <w:sz w:val="20"/>
                <w:szCs w:val="20"/>
              </w:rPr>
              <w:t>Junio</w:t>
            </w:r>
          </w:p>
          <w:p>
            <w:pPr>
              <w:spacing w:after="0" w:line="240" w:lineRule="auto"/>
              <w:jc w:val="center"/>
              <w:rPr>
                <w:sz w:val="20"/>
                <w:szCs w:val="20"/>
              </w:rPr>
            </w:pPr>
            <w:r>
              <w:rPr>
                <w:sz w:val="20"/>
                <w:szCs w:val="20"/>
              </w:rPr>
              <w:t>2018</w:t>
            </w:r>
          </w:p>
        </w:tc>
        <w:tc>
          <w:tcPr>
            <w:tcW w:w="1416" w:type="dxa"/>
            <w:vAlign w:val="center"/>
          </w:tcPr>
          <w:p>
            <w:pPr>
              <w:spacing w:after="0" w:line="240" w:lineRule="auto"/>
              <w:jc w:val="center"/>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spacing w:after="0"/>
              <w:rPr>
                <w:sz w:val="20"/>
                <w:szCs w:val="20"/>
              </w:rPr>
            </w:pPr>
          </w:p>
        </w:tc>
        <w:tc>
          <w:tcPr>
            <w:tcW w:w="2582" w:type="dxa"/>
            <w:vAlign w:val="center"/>
          </w:tcPr>
          <w:p>
            <w:pPr>
              <w:spacing w:after="0" w:line="240" w:lineRule="auto"/>
              <w:jc w:val="center"/>
              <w:rPr>
                <w:sz w:val="20"/>
                <w:szCs w:val="20"/>
              </w:rPr>
            </w:pPr>
            <w:r>
              <w:rPr>
                <w:sz w:val="20"/>
                <w:szCs w:val="20"/>
              </w:rPr>
              <w:t>Susana Cortés Franco</w:t>
            </w:r>
          </w:p>
        </w:tc>
        <w:tc>
          <w:tcPr>
            <w:tcW w:w="1536" w:type="dxa"/>
            <w:vAlign w:val="center"/>
          </w:tcPr>
          <w:p>
            <w:pPr>
              <w:spacing w:after="0" w:line="240" w:lineRule="auto"/>
              <w:jc w:val="center"/>
              <w:rPr>
                <w:sz w:val="20"/>
                <w:szCs w:val="20"/>
              </w:rPr>
            </w:pPr>
            <w:r>
              <w:rPr>
                <w:sz w:val="20"/>
                <w:szCs w:val="20"/>
              </w:rPr>
              <w:t>Profesional</w:t>
            </w:r>
          </w:p>
        </w:tc>
        <w:tc>
          <w:tcPr>
            <w:tcW w:w="1577" w:type="dxa"/>
            <w:vAlign w:val="center"/>
          </w:tcPr>
          <w:p>
            <w:pPr>
              <w:spacing w:after="0" w:line="240" w:lineRule="auto"/>
              <w:jc w:val="center"/>
              <w:rPr>
                <w:sz w:val="20"/>
                <w:szCs w:val="20"/>
              </w:rPr>
            </w:pPr>
            <w:r>
              <w:rPr>
                <w:sz w:val="20"/>
                <w:szCs w:val="20"/>
              </w:rPr>
              <w:t>Regional Amazonas</w:t>
            </w:r>
          </w:p>
        </w:tc>
        <w:tc>
          <w:tcPr>
            <w:tcW w:w="1182" w:type="dxa"/>
            <w:vAlign w:val="center"/>
          </w:tcPr>
          <w:p>
            <w:pPr>
              <w:spacing w:after="0" w:line="240" w:lineRule="auto"/>
              <w:jc w:val="center"/>
              <w:rPr>
                <w:sz w:val="20"/>
                <w:szCs w:val="20"/>
              </w:rPr>
            </w:pPr>
            <w:r>
              <w:rPr>
                <w:sz w:val="20"/>
                <w:szCs w:val="20"/>
              </w:rPr>
              <w:t>Junio 2018</w:t>
            </w:r>
          </w:p>
        </w:tc>
        <w:tc>
          <w:tcPr>
            <w:tcW w:w="1416" w:type="dxa"/>
            <w:vAlign w:val="center"/>
          </w:tcPr>
          <w:p>
            <w:pPr>
              <w:spacing w:after="0" w:line="240" w:lineRule="auto"/>
              <w:jc w:val="center"/>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spacing w:after="0"/>
              <w:rPr>
                <w:sz w:val="20"/>
                <w:szCs w:val="20"/>
              </w:rPr>
            </w:pPr>
          </w:p>
        </w:tc>
        <w:tc>
          <w:tcPr>
            <w:tcW w:w="2582" w:type="dxa"/>
            <w:vAlign w:val="center"/>
          </w:tcPr>
          <w:p>
            <w:pPr>
              <w:spacing w:after="0" w:line="240" w:lineRule="auto"/>
              <w:jc w:val="center"/>
              <w:rPr>
                <w:sz w:val="20"/>
                <w:szCs w:val="20"/>
              </w:rPr>
            </w:pPr>
            <w:bookmarkStart w:id="0" w:name="_gjdgxs" w:colFirst="0" w:colLast="0"/>
            <w:bookmarkEnd w:id="0"/>
            <w:r>
              <w:rPr>
                <w:sz w:val="20"/>
                <w:szCs w:val="20"/>
              </w:rPr>
              <w:t>Amparo Sandoval Lasso</w:t>
            </w:r>
          </w:p>
        </w:tc>
        <w:tc>
          <w:tcPr>
            <w:tcW w:w="1536" w:type="dxa"/>
            <w:vAlign w:val="center"/>
          </w:tcPr>
          <w:p>
            <w:pPr>
              <w:spacing w:after="0" w:line="240" w:lineRule="auto"/>
              <w:jc w:val="center"/>
              <w:rPr>
                <w:sz w:val="20"/>
                <w:szCs w:val="20"/>
              </w:rPr>
            </w:pPr>
            <w:r>
              <w:rPr>
                <w:sz w:val="20"/>
                <w:szCs w:val="20"/>
              </w:rPr>
              <w:t>Asesor</w:t>
            </w:r>
          </w:p>
        </w:tc>
        <w:tc>
          <w:tcPr>
            <w:tcW w:w="1577" w:type="dxa"/>
            <w:vAlign w:val="center"/>
          </w:tcPr>
          <w:p>
            <w:pPr>
              <w:spacing w:after="0" w:line="240" w:lineRule="auto"/>
              <w:jc w:val="center"/>
              <w:rPr>
                <w:sz w:val="20"/>
                <w:szCs w:val="20"/>
              </w:rPr>
            </w:pPr>
            <w:r>
              <w:rPr>
                <w:sz w:val="20"/>
                <w:szCs w:val="20"/>
              </w:rPr>
              <w:t>Equipo pedagógico/ Sindesena</w:t>
            </w:r>
          </w:p>
        </w:tc>
        <w:tc>
          <w:tcPr>
            <w:tcW w:w="1182" w:type="dxa"/>
            <w:vAlign w:val="center"/>
          </w:tcPr>
          <w:p>
            <w:pPr>
              <w:spacing w:after="0" w:line="240" w:lineRule="auto"/>
              <w:jc w:val="center"/>
              <w:rPr>
                <w:sz w:val="20"/>
                <w:szCs w:val="20"/>
              </w:rPr>
            </w:pPr>
            <w:r>
              <w:rPr>
                <w:sz w:val="20"/>
                <w:szCs w:val="20"/>
              </w:rPr>
              <w:t>Marzo 2019</w:t>
            </w:r>
          </w:p>
        </w:tc>
        <w:tc>
          <w:tcPr>
            <w:tcW w:w="1416" w:type="dxa"/>
            <w:vAlign w:val="center"/>
          </w:tcPr>
          <w:p>
            <w:pPr>
              <w:spacing w:after="0" w:line="240" w:lineRule="auto"/>
              <w:jc w:val="center"/>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spacing w:after="0"/>
              <w:rPr>
                <w:sz w:val="20"/>
                <w:szCs w:val="20"/>
              </w:rPr>
            </w:pPr>
          </w:p>
        </w:tc>
        <w:tc>
          <w:tcPr>
            <w:tcW w:w="2582" w:type="dxa"/>
            <w:vAlign w:val="center"/>
          </w:tcPr>
          <w:p>
            <w:pPr>
              <w:spacing w:after="0" w:line="240" w:lineRule="auto"/>
              <w:jc w:val="center"/>
              <w:rPr>
                <w:sz w:val="20"/>
                <w:szCs w:val="20"/>
              </w:rPr>
            </w:pPr>
            <w:r>
              <w:rPr>
                <w:sz w:val="20"/>
                <w:szCs w:val="20"/>
              </w:rPr>
              <w:t>Mauricio Rodríguez</w:t>
            </w:r>
          </w:p>
        </w:tc>
        <w:tc>
          <w:tcPr>
            <w:tcW w:w="1536" w:type="dxa"/>
            <w:vAlign w:val="center"/>
          </w:tcPr>
          <w:p>
            <w:pPr>
              <w:spacing w:after="0" w:line="240" w:lineRule="auto"/>
              <w:jc w:val="center"/>
              <w:rPr>
                <w:sz w:val="20"/>
                <w:szCs w:val="20"/>
              </w:rPr>
            </w:pPr>
            <w:r>
              <w:rPr>
                <w:sz w:val="20"/>
                <w:szCs w:val="20"/>
              </w:rPr>
              <w:t>Asesor</w:t>
            </w:r>
          </w:p>
        </w:tc>
        <w:tc>
          <w:tcPr>
            <w:tcW w:w="1577" w:type="dxa"/>
            <w:vAlign w:val="center"/>
          </w:tcPr>
          <w:p>
            <w:pPr>
              <w:spacing w:after="0" w:line="240" w:lineRule="auto"/>
              <w:jc w:val="center"/>
              <w:rPr>
                <w:sz w:val="20"/>
                <w:szCs w:val="20"/>
              </w:rPr>
            </w:pPr>
            <w:r>
              <w:rPr>
                <w:sz w:val="20"/>
                <w:szCs w:val="20"/>
              </w:rPr>
              <w:t>Sindesena</w:t>
            </w:r>
          </w:p>
        </w:tc>
        <w:tc>
          <w:tcPr>
            <w:tcW w:w="1182" w:type="dxa"/>
            <w:vAlign w:val="center"/>
          </w:tcPr>
          <w:p>
            <w:pPr>
              <w:spacing w:after="0" w:line="240" w:lineRule="auto"/>
              <w:jc w:val="center"/>
              <w:rPr>
                <w:sz w:val="20"/>
                <w:szCs w:val="20"/>
              </w:rPr>
            </w:pPr>
            <w:r>
              <w:rPr>
                <w:sz w:val="20"/>
                <w:szCs w:val="20"/>
              </w:rPr>
              <w:t>Marzo 2019</w:t>
            </w:r>
          </w:p>
        </w:tc>
        <w:tc>
          <w:tcPr>
            <w:tcW w:w="1416" w:type="dxa"/>
            <w:vAlign w:val="center"/>
          </w:tcPr>
          <w:p>
            <w:pPr>
              <w:spacing w:after="0" w:line="240" w:lineRule="auto"/>
              <w:jc w:val="center"/>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spacing w:after="0"/>
              <w:rPr>
                <w:sz w:val="20"/>
                <w:szCs w:val="20"/>
              </w:rPr>
            </w:pPr>
          </w:p>
        </w:tc>
        <w:tc>
          <w:tcPr>
            <w:tcW w:w="2582" w:type="dxa"/>
            <w:vAlign w:val="center"/>
          </w:tcPr>
          <w:p>
            <w:pPr>
              <w:spacing w:after="0" w:line="240" w:lineRule="auto"/>
              <w:jc w:val="center"/>
              <w:rPr>
                <w:sz w:val="20"/>
                <w:szCs w:val="20"/>
              </w:rPr>
            </w:pPr>
            <w:r>
              <w:rPr>
                <w:sz w:val="20"/>
                <w:szCs w:val="20"/>
              </w:rPr>
              <w:t>Susana Cortés Franco</w:t>
            </w:r>
          </w:p>
        </w:tc>
        <w:tc>
          <w:tcPr>
            <w:tcW w:w="1536" w:type="dxa"/>
            <w:vAlign w:val="center"/>
          </w:tcPr>
          <w:p>
            <w:pPr>
              <w:spacing w:after="0" w:line="240" w:lineRule="auto"/>
              <w:jc w:val="center"/>
              <w:rPr>
                <w:sz w:val="20"/>
                <w:szCs w:val="20"/>
              </w:rPr>
            </w:pPr>
            <w:r>
              <w:rPr>
                <w:sz w:val="20"/>
                <w:szCs w:val="20"/>
              </w:rPr>
              <w:t>Profesional</w:t>
            </w:r>
          </w:p>
        </w:tc>
        <w:tc>
          <w:tcPr>
            <w:tcW w:w="1577" w:type="dxa"/>
            <w:vAlign w:val="center"/>
          </w:tcPr>
          <w:p>
            <w:pPr>
              <w:spacing w:after="0" w:line="240" w:lineRule="auto"/>
              <w:jc w:val="center"/>
              <w:rPr>
                <w:sz w:val="20"/>
                <w:szCs w:val="20"/>
              </w:rPr>
            </w:pPr>
            <w:r>
              <w:rPr>
                <w:sz w:val="20"/>
                <w:szCs w:val="20"/>
              </w:rPr>
              <w:t>Regional Amazonas</w:t>
            </w:r>
          </w:p>
        </w:tc>
        <w:tc>
          <w:tcPr>
            <w:tcW w:w="1182" w:type="dxa"/>
            <w:vAlign w:val="center"/>
          </w:tcPr>
          <w:p>
            <w:pPr>
              <w:spacing w:after="0" w:line="240" w:lineRule="auto"/>
              <w:jc w:val="center"/>
              <w:rPr>
                <w:sz w:val="20"/>
                <w:szCs w:val="20"/>
              </w:rPr>
            </w:pPr>
            <w:r>
              <w:rPr>
                <w:sz w:val="20"/>
                <w:szCs w:val="20"/>
              </w:rPr>
              <w:t>Marzo 2019</w:t>
            </w:r>
          </w:p>
        </w:tc>
        <w:tc>
          <w:tcPr>
            <w:tcW w:w="1416" w:type="dxa"/>
            <w:vAlign w:val="center"/>
          </w:tcPr>
          <w:p>
            <w:pPr>
              <w:spacing w:after="0" w:line="240" w:lineRule="auto"/>
              <w:jc w:val="center"/>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05" w:type="dxa"/>
            <w:vMerge w:val="continue"/>
            <w:vAlign w:val="center"/>
          </w:tcPr>
          <w:p>
            <w:pPr>
              <w:widowControl w:val="0"/>
              <w:pBdr>
                <w:top w:val="none" w:color="auto" w:sz="0" w:space="0"/>
                <w:left w:val="none" w:color="auto" w:sz="0" w:space="0"/>
                <w:bottom w:val="none" w:color="auto" w:sz="0" w:space="0"/>
                <w:right w:val="none" w:color="auto" w:sz="0" w:space="0"/>
                <w:between w:val="none" w:color="auto" w:sz="0" w:space="0"/>
              </w:pBdr>
              <w:spacing w:after="0"/>
              <w:rPr>
                <w:sz w:val="20"/>
                <w:szCs w:val="20"/>
              </w:rPr>
            </w:pPr>
          </w:p>
        </w:tc>
        <w:tc>
          <w:tcPr>
            <w:tcW w:w="2582" w:type="dxa"/>
            <w:vAlign w:val="center"/>
          </w:tcPr>
          <w:p>
            <w:pPr>
              <w:spacing w:after="0" w:line="240" w:lineRule="auto"/>
              <w:jc w:val="center"/>
              <w:rPr>
                <w:sz w:val="20"/>
                <w:szCs w:val="20"/>
              </w:rPr>
            </w:pPr>
            <w:r>
              <w:rPr>
                <w:sz w:val="20"/>
                <w:szCs w:val="20"/>
              </w:rPr>
              <w:t>Herney Arango T.</w:t>
            </w:r>
          </w:p>
          <w:p>
            <w:pPr>
              <w:spacing w:after="0" w:line="240" w:lineRule="auto"/>
              <w:jc w:val="center"/>
              <w:rPr>
                <w:sz w:val="20"/>
                <w:szCs w:val="20"/>
              </w:rPr>
            </w:pPr>
            <w:r>
              <w:rPr>
                <w:sz w:val="20"/>
                <w:szCs w:val="20"/>
              </w:rPr>
              <w:t>Claudia Roncancio P.</w:t>
            </w:r>
          </w:p>
          <w:p>
            <w:pPr>
              <w:spacing w:after="0" w:line="240" w:lineRule="auto"/>
              <w:jc w:val="center"/>
              <w:rPr>
                <w:sz w:val="20"/>
                <w:szCs w:val="20"/>
              </w:rPr>
            </w:pPr>
            <w:r>
              <w:rPr>
                <w:sz w:val="20"/>
                <w:szCs w:val="20"/>
              </w:rPr>
              <w:t>Susana Cortes F.</w:t>
            </w:r>
          </w:p>
          <w:p>
            <w:pPr>
              <w:spacing w:after="0" w:line="240" w:lineRule="auto"/>
              <w:jc w:val="center"/>
              <w:rPr>
                <w:sz w:val="20"/>
                <w:szCs w:val="20"/>
              </w:rPr>
            </w:pPr>
            <w:r>
              <w:rPr>
                <w:sz w:val="20"/>
                <w:szCs w:val="20"/>
              </w:rPr>
              <w:t>Amparo Sandoval</w:t>
            </w:r>
          </w:p>
          <w:p>
            <w:pPr>
              <w:spacing w:after="0" w:line="240" w:lineRule="auto"/>
              <w:jc w:val="center"/>
              <w:rPr>
                <w:sz w:val="20"/>
                <w:szCs w:val="20"/>
              </w:rPr>
            </w:pPr>
            <w:r>
              <w:rPr>
                <w:sz w:val="20"/>
                <w:szCs w:val="20"/>
              </w:rPr>
              <w:t>Gerson Montañez</w:t>
            </w:r>
          </w:p>
        </w:tc>
        <w:tc>
          <w:tcPr>
            <w:tcW w:w="1536" w:type="dxa"/>
            <w:vAlign w:val="center"/>
          </w:tcPr>
          <w:p>
            <w:pPr>
              <w:spacing w:after="0" w:line="240" w:lineRule="auto"/>
              <w:jc w:val="center"/>
              <w:rPr>
                <w:sz w:val="20"/>
                <w:szCs w:val="20"/>
              </w:rPr>
            </w:pPr>
          </w:p>
        </w:tc>
        <w:tc>
          <w:tcPr>
            <w:tcW w:w="1577" w:type="dxa"/>
            <w:vAlign w:val="center"/>
          </w:tcPr>
          <w:p>
            <w:pPr>
              <w:spacing w:after="0" w:line="240" w:lineRule="auto"/>
              <w:jc w:val="center"/>
              <w:rPr>
                <w:sz w:val="20"/>
                <w:szCs w:val="20"/>
              </w:rPr>
            </w:pPr>
            <w:r>
              <w:rPr>
                <w:sz w:val="20"/>
                <w:szCs w:val="20"/>
              </w:rPr>
              <w:t>ENI – Equipo Pedagógico SINDESENA</w:t>
            </w:r>
          </w:p>
        </w:tc>
        <w:tc>
          <w:tcPr>
            <w:tcW w:w="1182" w:type="dxa"/>
            <w:vAlign w:val="center"/>
          </w:tcPr>
          <w:p>
            <w:pPr>
              <w:spacing w:after="0" w:line="240" w:lineRule="auto"/>
              <w:jc w:val="center"/>
              <w:rPr>
                <w:sz w:val="20"/>
                <w:szCs w:val="20"/>
              </w:rPr>
            </w:pPr>
            <w:r>
              <w:rPr>
                <w:sz w:val="20"/>
                <w:szCs w:val="20"/>
              </w:rPr>
              <w:t>26/04/2019</w:t>
            </w:r>
          </w:p>
        </w:tc>
        <w:tc>
          <w:tcPr>
            <w:tcW w:w="1416" w:type="dxa"/>
            <w:vAlign w:val="center"/>
          </w:tcPr>
          <w:p>
            <w:pPr>
              <w:spacing w:after="0" w:line="240" w:lineRule="auto"/>
              <w:jc w:val="both"/>
              <w:rPr>
                <w:sz w:val="20"/>
                <w:szCs w:val="20"/>
              </w:rPr>
            </w:pPr>
            <w:r>
              <w:rPr>
                <w:sz w:val="20"/>
                <w:szCs w:val="20"/>
              </w:rPr>
              <w:t>Ajuste desarrollo curricular: análisis pedagógico, guías, instrumentos, material de apoyo</w:t>
            </w:r>
          </w:p>
        </w:tc>
      </w:tr>
    </w:tbl>
    <w:p>
      <w:pPr>
        <w:rPr>
          <w:rFonts w:ascii="Arial" w:hAnsi="Arial" w:cs="Arial"/>
          <w:sz w:val="20"/>
          <w:szCs w:val="20"/>
        </w:rPr>
      </w:pPr>
    </w:p>
    <w:p>
      <w:pPr>
        <w:spacing w:after="0"/>
        <w:rPr>
          <w:color w:val="000000" w:themeColor="text1"/>
          <w14:textFill>
            <w14:solidFill>
              <w14:schemeClr w14:val="tx1"/>
            </w14:solidFill>
          </w14:textFill>
        </w:rPr>
      </w:pPr>
    </w:p>
    <w:p>
      <w:pPr>
        <w:jc w:val="center"/>
        <w:rPr>
          <w:b/>
          <w:sz w:val="20"/>
          <w:szCs w:val="20"/>
        </w:rPr>
      </w:pPr>
      <w:bookmarkStart w:id="1" w:name="_GoBack"/>
      <w:bookmarkEnd w:id="1"/>
    </w:p>
    <w:p>
      <w:pPr>
        <w:spacing w:after="0" w:line="360" w:lineRule="auto"/>
        <w:rPr>
          <w:rFonts w:cs="Calibri"/>
          <w:color w:val="000000" w:themeColor="text1"/>
          <w14:textFill>
            <w14:solidFill>
              <w14:schemeClr w14:val="tx1"/>
            </w14:solidFill>
          </w14:textFill>
        </w:rPr>
      </w:pPr>
    </w:p>
    <w:sectPr>
      <w:headerReference r:id="rId6" w:type="first"/>
      <w:headerReference r:id="rId5" w:type="default"/>
      <w:footerReference r:id="rId7" w:type="default"/>
      <w:pgSz w:w="12240" w:h="15840"/>
      <w:pgMar w:top="1779" w:right="1041" w:bottom="1418" w:left="156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メイリオ">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Courier New"/>
    <w:panose1 w:val="00000000000000000000"/>
    <w:charset w:val="00"/>
    <w:family w:val="auto"/>
    <w:pitch w:val="default"/>
    <w:sig w:usb0="00000000" w:usb1="00000000" w:usb2="00000000" w:usb3="00000000" w:csb0="000001BF" w:csb1="00000000"/>
  </w:font>
  <w:font w:name="Noto Sans Symbols">
    <w:altName w:val="Times New Roman"/>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color w:val="595959" w:themeColor="text1" w:themeTint="A6"/>
        <w:sz w:val="18"/>
        <w14:textFill>
          <w14:solidFill>
            <w14:schemeClr w14:val="tx1">
              <w14:lumMod w14:val="65000"/>
              <w14:lumOff w14:val="35000"/>
            </w14:schemeClr>
          </w14:solidFill>
        </w14:textFill>
      </w:rPr>
    </w:pPr>
  </w:p>
  <w:p>
    <w:pPr>
      <w:pStyle w:val="11"/>
      <w:jc w:val="center"/>
    </w:pPr>
    <w:r>
      <w:t>GFPI-F-135 V02</w:t>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s-ES" w:eastAsia="es-ES"/>
      </w:rPr>
      <w:t xml:space="preserve"> </w:t>
    </w:r>
    <w:r>
      <w:rPr>
        <w:lang w:eastAsia="es-CO"/>
      </w:rPr>
      <w:t xml:space="preserve">                                                                                                                      </w:t>
    </w:r>
  </w:p>
  <w:p>
    <w:pPr>
      <w:pStyle w:val="14"/>
      <w:tabs>
        <w:tab w:val="right" w:pos="8413"/>
        <w:tab w:val="clear" w:pos="4419"/>
        <w:tab w:val="clear" w:pos="8838"/>
      </w:tabs>
      <w:jc w:val="center"/>
    </w:pPr>
    <w:r>
      <w:rPr>
        <w:lang w:eastAsia="es-CO"/>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lang w:val="es-ES" w:eastAsia="es-ES"/>
      </w:rPr>
    </w:pPr>
  </w:p>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113BD"/>
    <w:multiLevelType w:val="multilevel"/>
    <w:tmpl w:val="008113BD"/>
    <w:lvl w:ilvl="0" w:tentative="0">
      <w:start w:val="1"/>
      <w:numFmt w:val="bullet"/>
      <w:lvlText w:val="●"/>
      <w:lvlJc w:val="left"/>
      <w:pPr>
        <w:ind w:left="360" w:hanging="360"/>
      </w:pPr>
      <w:rPr>
        <w:rFonts w:ascii="Noto Sans Symbols" w:hAnsi="Noto Sans Symbols" w:eastAsia="Noto Sans Symbols" w:cs="Noto Sans Symbols"/>
      </w:rPr>
    </w:lvl>
    <w:lvl w:ilvl="1" w:tentative="0">
      <w:start w:val="1"/>
      <w:numFmt w:val="bullet"/>
      <w:lvlText w:val="o"/>
      <w:lvlJc w:val="left"/>
      <w:pPr>
        <w:ind w:left="1080" w:hanging="360"/>
      </w:pPr>
      <w:rPr>
        <w:rFonts w:ascii="Courier New" w:hAnsi="Courier New" w:eastAsia="Courier New" w:cs="Courier New"/>
      </w:rPr>
    </w:lvl>
    <w:lvl w:ilvl="2" w:tentative="0">
      <w:start w:val="1"/>
      <w:numFmt w:val="bullet"/>
      <w:lvlText w:val="▪"/>
      <w:lvlJc w:val="left"/>
      <w:pPr>
        <w:ind w:left="1800" w:hanging="360"/>
      </w:pPr>
      <w:rPr>
        <w:rFonts w:ascii="Noto Sans Symbols" w:hAnsi="Noto Sans Symbols" w:eastAsia="Noto Sans Symbols" w:cs="Noto Sans Symbols"/>
      </w:rPr>
    </w:lvl>
    <w:lvl w:ilvl="3" w:tentative="0">
      <w:start w:val="1"/>
      <w:numFmt w:val="bullet"/>
      <w:lvlText w:val="●"/>
      <w:lvlJc w:val="left"/>
      <w:pPr>
        <w:ind w:left="2520" w:hanging="360"/>
      </w:pPr>
      <w:rPr>
        <w:rFonts w:ascii="Noto Sans Symbols" w:hAnsi="Noto Sans Symbols" w:eastAsia="Noto Sans Symbols" w:cs="Noto Sans Symbols"/>
      </w:rPr>
    </w:lvl>
    <w:lvl w:ilvl="4" w:tentative="0">
      <w:start w:val="1"/>
      <w:numFmt w:val="bullet"/>
      <w:lvlText w:val="o"/>
      <w:lvlJc w:val="left"/>
      <w:pPr>
        <w:ind w:left="3240" w:hanging="360"/>
      </w:pPr>
      <w:rPr>
        <w:rFonts w:ascii="Courier New" w:hAnsi="Courier New" w:eastAsia="Courier New" w:cs="Courier New"/>
      </w:rPr>
    </w:lvl>
    <w:lvl w:ilvl="5" w:tentative="0">
      <w:start w:val="1"/>
      <w:numFmt w:val="bullet"/>
      <w:lvlText w:val="▪"/>
      <w:lvlJc w:val="left"/>
      <w:pPr>
        <w:ind w:left="3960" w:hanging="360"/>
      </w:pPr>
      <w:rPr>
        <w:rFonts w:ascii="Noto Sans Symbols" w:hAnsi="Noto Sans Symbols" w:eastAsia="Noto Sans Symbols" w:cs="Noto Sans Symbols"/>
      </w:rPr>
    </w:lvl>
    <w:lvl w:ilvl="6" w:tentative="0">
      <w:start w:val="1"/>
      <w:numFmt w:val="bullet"/>
      <w:lvlText w:val="●"/>
      <w:lvlJc w:val="left"/>
      <w:pPr>
        <w:ind w:left="4680" w:hanging="360"/>
      </w:pPr>
      <w:rPr>
        <w:rFonts w:ascii="Noto Sans Symbols" w:hAnsi="Noto Sans Symbols" w:eastAsia="Noto Sans Symbols" w:cs="Noto Sans Symbols"/>
      </w:rPr>
    </w:lvl>
    <w:lvl w:ilvl="7" w:tentative="0">
      <w:start w:val="1"/>
      <w:numFmt w:val="bullet"/>
      <w:lvlText w:val="o"/>
      <w:lvlJc w:val="left"/>
      <w:pPr>
        <w:ind w:left="5400" w:hanging="360"/>
      </w:pPr>
      <w:rPr>
        <w:rFonts w:ascii="Courier New" w:hAnsi="Courier New" w:eastAsia="Courier New" w:cs="Courier New"/>
      </w:rPr>
    </w:lvl>
    <w:lvl w:ilvl="8" w:tentative="0">
      <w:start w:val="1"/>
      <w:numFmt w:val="bullet"/>
      <w:lvlText w:val="▪"/>
      <w:lvlJc w:val="left"/>
      <w:pPr>
        <w:ind w:left="6120" w:hanging="360"/>
      </w:pPr>
      <w:rPr>
        <w:rFonts w:ascii="Noto Sans Symbols" w:hAnsi="Noto Sans Symbols" w:eastAsia="Noto Sans Symbols" w:cs="Noto Sans Symbols"/>
      </w:rPr>
    </w:lvl>
  </w:abstractNum>
  <w:abstractNum w:abstractNumId="1">
    <w:nsid w:val="2E9B1FAE"/>
    <w:multiLevelType w:val="multilevel"/>
    <w:tmpl w:val="2E9B1FAE"/>
    <w:lvl w:ilvl="0" w:tentative="0">
      <w:start w:val="1"/>
      <w:numFmt w:val="decimal"/>
      <w:lvlText w:val="%1."/>
      <w:lvlJc w:val="left"/>
      <w:pPr>
        <w:ind w:left="720" w:hanging="360"/>
      </w:pPr>
      <w:rPr>
        <w:rFonts w:hint="default"/>
        <w:b/>
        <w:i w:val="0"/>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31900EA8"/>
    <w:multiLevelType w:val="multilevel"/>
    <w:tmpl w:val="31900E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69C168C3"/>
    <w:multiLevelType w:val="multilevel"/>
    <w:tmpl w:val="69C168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6BE213AA"/>
    <w:multiLevelType w:val="multilevel"/>
    <w:tmpl w:val="6BE213AA"/>
    <w:lvl w:ilvl="0" w:tentative="0">
      <w:start w:val="1"/>
      <w:numFmt w:val="decimal"/>
      <w:lvlText w:val="%1."/>
      <w:lvlJc w:val="left"/>
      <w:pPr>
        <w:ind w:left="720" w:hanging="360"/>
      </w:pPr>
      <w:rPr>
        <w:rFonts w:hint="default"/>
        <w:b/>
        <w:i w:val="0"/>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5">
    <w:nsid w:val="6ECE1902"/>
    <w:multiLevelType w:val="multilevel"/>
    <w:tmpl w:val="6ECE1902"/>
    <w:lvl w:ilvl="0" w:tentative="0">
      <w:start w:val="1"/>
      <w:numFmt w:val="bullet"/>
      <w:lvlText w:val="●"/>
      <w:lvlJc w:val="left"/>
      <w:pPr>
        <w:ind w:left="360" w:hanging="360"/>
      </w:pPr>
      <w:rPr>
        <w:rFonts w:ascii="Noto Sans Symbols" w:hAnsi="Noto Sans Symbols" w:eastAsia="Noto Sans Symbols" w:cs="Noto Sans Symbols"/>
      </w:rPr>
    </w:lvl>
    <w:lvl w:ilvl="1" w:tentative="0">
      <w:start w:val="1"/>
      <w:numFmt w:val="bullet"/>
      <w:lvlText w:val="o"/>
      <w:lvlJc w:val="left"/>
      <w:pPr>
        <w:ind w:left="1080" w:hanging="360"/>
      </w:pPr>
      <w:rPr>
        <w:rFonts w:ascii="Courier New" w:hAnsi="Courier New" w:eastAsia="Courier New" w:cs="Courier New"/>
      </w:rPr>
    </w:lvl>
    <w:lvl w:ilvl="2" w:tentative="0">
      <w:start w:val="1"/>
      <w:numFmt w:val="bullet"/>
      <w:lvlText w:val="▪"/>
      <w:lvlJc w:val="left"/>
      <w:pPr>
        <w:ind w:left="1800" w:hanging="360"/>
      </w:pPr>
      <w:rPr>
        <w:rFonts w:ascii="Noto Sans Symbols" w:hAnsi="Noto Sans Symbols" w:eastAsia="Noto Sans Symbols" w:cs="Noto Sans Symbols"/>
      </w:rPr>
    </w:lvl>
    <w:lvl w:ilvl="3" w:tentative="0">
      <w:start w:val="1"/>
      <w:numFmt w:val="bullet"/>
      <w:lvlText w:val="●"/>
      <w:lvlJc w:val="left"/>
      <w:pPr>
        <w:ind w:left="2520" w:hanging="360"/>
      </w:pPr>
      <w:rPr>
        <w:rFonts w:ascii="Noto Sans Symbols" w:hAnsi="Noto Sans Symbols" w:eastAsia="Noto Sans Symbols" w:cs="Noto Sans Symbols"/>
      </w:rPr>
    </w:lvl>
    <w:lvl w:ilvl="4" w:tentative="0">
      <w:start w:val="1"/>
      <w:numFmt w:val="bullet"/>
      <w:lvlText w:val="o"/>
      <w:lvlJc w:val="left"/>
      <w:pPr>
        <w:ind w:left="3240" w:hanging="360"/>
      </w:pPr>
      <w:rPr>
        <w:rFonts w:ascii="Courier New" w:hAnsi="Courier New" w:eastAsia="Courier New" w:cs="Courier New"/>
      </w:rPr>
    </w:lvl>
    <w:lvl w:ilvl="5" w:tentative="0">
      <w:start w:val="1"/>
      <w:numFmt w:val="bullet"/>
      <w:lvlText w:val="▪"/>
      <w:lvlJc w:val="left"/>
      <w:pPr>
        <w:ind w:left="3960" w:hanging="360"/>
      </w:pPr>
      <w:rPr>
        <w:rFonts w:ascii="Noto Sans Symbols" w:hAnsi="Noto Sans Symbols" w:eastAsia="Noto Sans Symbols" w:cs="Noto Sans Symbols"/>
      </w:rPr>
    </w:lvl>
    <w:lvl w:ilvl="6" w:tentative="0">
      <w:start w:val="1"/>
      <w:numFmt w:val="bullet"/>
      <w:lvlText w:val="●"/>
      <w:lvlJc w:val="left"/>
      <w:pPr>
        <w:ind w:left="4680" w:hanging="360"/>
      </w:pPr>
      <w:rPr>
        <w:rFonts w:ascii="Noto Sans Symbols" w:hAnsi="Noto Sans Symbols" w:eastAsia="Noto Sans Symbols" w:cs="Noto Sans Symbols"/>
      </w:rPr>
    </w:lvl>
    <w:lvl w:ilvl="7" w:tentative="0">
      <w:start w:val="1"/>
      <w:numFmt w:val="bullet"/>
      <w:lvlText w:val="o"/>
      <w:lvlJc w:val="left"/>
      <w:pPr>
        <w:ind w:left="5400" w:hanging="360"/>
      </w:pPr>
      <w:rPr>
        <w:rFonts w:ascii="Courier New" w:hAnsi="Courier New" w:eastAsia="Courier New" w:cs="Courier New"/>
      </w:rPr>
    </w:lvl>
    <w:lvl w:ilvl="8" w:tentative="0">
      <w:start w:val="1"/>
      <w:numFmt w:val="bullet"/>
      <w:lvlText w:val="▪"/>
      <w:lvlJc w:val="left"/>
      <w:pPr>
        <w:ind w:left="6120" w:hanging="360"/>
      </w:pPr>
      <w:rPr>
        <w:rFonts w:ascii="Noto Sans Symbols" w:hAnsi="Noto Sans Symbols" w:eastAsia="Noto Sans Symbols" w:cs="Noto Sans Symbols"/>
      </w:rPr>
    </w:lvl>
  </w:abstractNum>
  <w:abstractNum w:abstractNumId="6">
    <w:nsid w:val="6FDD427A"/>
    <w:multiLevelType w:val="multilevel"/>
    <w:tmpl w:val="6FDD427A"/>
    <w:lvl w:ilvl="0" w:tentative="0">
      <w:start w:val="1"/>
      <w:numFmt w:val="bullet"/>
      <w:lvlText w:val="●"/>
      <w:lvlJc w:val="left"/>
      <w:pPr>
        <w:ind w:left="360" w:hanging="360"/>
      </w:pPr>
      <w:rPr>
        <w:rFonts w:ascii="Noto Sans Symbols" w:hAnsi="Noto Sans Symbols" w:eastAsia="Noto Sans Symbols" w:cs="Noto Sans Symbols"/>
      </w:rPr>
    </w:lvl>
    <w:lvl w:ilvl="1" w:tentative="0">
      <w:start w:val="1"/>
      <w:numFmt w:val="bullet"/>
      <w:lvlText w:val="o"/>
      <w:lvlJc w:val="left"/>
      <w:pPr>
        <w:ind w:left="1080" w:hanging="360"/>
      </w:pPr>
      <w:rPr>
        <w:rFonts w:ascii="Courier New" w:hAnsi="Courier New" w:eastAsia="Courier New" w:cs="Courier New"/>
      </w:rPr>
    </w:lvl>
    <w:lvl w:ilvl="2" w:tentative="0">
      <w:start w:val="1"/>
      <w:numFmt w:val="bullet"/>
      <w:lvlText w:val="▪"/>
      <w:lvlJc w:val="left"/>
      <w:pPr>
        <w:ind w:left="1800" w:hanging="360"/>
      </w:pPr>
      <w:rPr>
        <w:rFonts w:ascii="Noto Sans Symbols" w:hAnsi="Noto Sans Symbols" w:eastAsia="Noto Sans Symbols" w:cs="Noto Sans Symbols"/>
      </w:rPr>
    </w:lvl>
    <w:lvl w:ilvl="3" w:tentative="0">
      <w:start w:val="1"/>
      <w:numFmt w:val="bullet"/>
      <w:lvlText w:val="●"/>
      <w:lvlJc w:val="left"/>
      <w:pPr>
        <w:ind w:left="2520" w:hanging="360"/>
      </w:pPr>
      <w:rPr>
        <w:rFonts w:ascii="Noto Sans Symbols" w:hAnsi="Noto Sans Symbols" w:eastAsia="Noto Sans Symbols" w:cs="Noto Sans Symbols"/>
      </w:rPr>
    </w:lvl>
    <w:lvl w:ilvl="4" w:tentative="0">
      <w:start w:val="1"/>
      <w:numFmt w:val="bullet"/>
      <w:lvlText w:val="o"/>
      <w:lvlJc w:val="left"/>
      <w:pPr>
        <w:ind w:left="3240" w:hanging="360"/>
      </w:pPr>
      <w:rPr>
        <w:rFonts w:ascii="Courier New" w:hAnsi="Courier New" w:eastAsia="Courier New" w:cs="Courier New"/>
      </w:rPr>
    </w:lvl>
    <w:lvl w:ilvl="5" w:tentative="0">
      <w:start w:val="1"/>
      <w:numFmt w:val="bullet"/>
      <w:lvlText w:val="▪"/>
      <w:lvlJc w:val="left"/>
      <w:pPr>
        <w:ind w:left="3960" w:hanging="360"/>
      </w:pPr>
      <w:rPr>
        <w:rFonts w:ascii="Noto Sans Symbols" w:hAnsi="Noto Sans Symbols" w:eastAsia="Noto Sans Symbols" w:cs="Noto Sans Symbols"/>
      </w:rPr>
    </w:lvl>
    <w:lvl w:ilvl="6" w:tentative="0">
      <w:start w:val="1"/>
      <w:numFmt w:val="bullet"/>
      <w:lvlText w:val="●"/>
      <w:lvlJc w:val="left"/>
      <w:pPr>
        <w:ind w:left="4680" w:hanging="360"/>
      </w:pPr>
      <w:rPr>
        <w:rFonts w:ascii="Noto Sans Symbols" w:hAnsi="Noto Sans Symbols" w:eastAsia="Noto Sans Symbols" w:cs="Noto Sans Symbols"/>
      </w:rPr>
    </w:lvl>
    <w:lvl w:ilvl="7" w:tentative="0">
      <w:start w:val="1"/>
      <w:numFmt w:val="bullet"/>
      <w:lvlText w:val="o"/>
      <w:lvlJc w:val="left"/>
      <w:pPr>
        <w:ind w:left="5400" w:hanging="360"/>
      </w:pPr>
      <w:rPr>
        <w:rFonts w:ascii="Courier New" w:hAnsi="Courier New" w:eastAsia="Courier New" w:cs="Courier New"/>
      </w:rPr>
    </w:lvl>
    <w:lvl w:ilvl="8" w:tentative="0">
      <w:start w:val="1"/>
      <w:numFmt w:val="bullet"/>
      <w:lvlText w:val="▪"/>
      <w:lvlJc w:val="left"/>
      <w:pPr>
        <w:ind w:left="6120" w:hanging="360"/>
      </w:pPr>
      <w:rPr>
        <w:rFonts w:ascii="Noto Sans Symbols" w:hAnsi="Noto Sans Symbols" w:eastAsia="Noto Sans Symbols" w:cs="Noto Sans Symbols"/>
      </w:rPr>
    </w:lvl>
  </w:abstractNum>
  <w:num w:numId="1">
    <w:abstractNumId w:val="2"/>
  </w:num>
  <w:num w:numId="2">
    <w:abstractNumId w:val="4"/>
  </w:num>
  <w:num w:numId="3">
    <w:abstractNumId w:val="1"/>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hideSpellingErrors/>
  <w:hideGrammaticalErrors/>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F2166"/>
    <w:rsid w:val="00117BFB"/>
    <w:rsid w:val="00174851"/>
    <w:rsid w:val="001C508E"/>
    <w:rsid w:val="002D12AD"/>
    <w:rsid w:val="002E0F5A"/>
    <w:rsid w:val="003232D5"/>
    <w:rsid w:val="003B2FA3"/>
    <w:rsid w:val="00400D09"/>
    <w:rsid w:val="00502891"/>
    <w:rsid w:val="005242C6"/>
    <w:rsid w:val="006866E9"/>
    <w:rsid w:val="00763DBE"/>
    <w:rsid w:val="00886060"/>
    <w:rsid w:val="009015A5"/>
    <w:rsid w:val="009D3278"/>
    <w:rsid w:val="00A63563"/>
    <w:rsid w:val="00A92164"/>
    <w:rsid w:val="00B457AB"/>
    <w:rsid w:val="00B53D0D"/>
    <w:rsid w:val="00BB464D"/>
    <w:rsid w:val="00D277E1"/>
    <w:rsid w:val="00E85AFD"/>
    <w:rsid w:val="00FB155A"/>
    <w:rsid w:val="07161B34"/>
    <w:rsid w:val="217B28FE"/>
  </w:rsids>
  <m:mathPr>
    <m:mathFont m:val="Cambria Math"/>
    <m:brkBin m:val="before"/>
    <m:brkBinSub m:val="--"/>
    <m:smallFrac m:val="0"/>
    <m:dispDef/>
    <m:lMargin m:val="0"/>
    <m:rMargin m:val="0"/>
    <m:defJc m:val="centerGroup"/>
    <m:wrapIndent m:val="1440"/>
    <m:intLim m:val="subSup"/>
    <m:naryLim m:val="undOvr"/>
  </m:mathPr>
  <w:doNotAutoCompressPictures/>
  <w:themeFontLang w:val="es-CO"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s-CO" w:eastAsia="en-US" w:bidi="ar-SA"/>
    </w:rPr>
  </w:style>
  <w:style w:type="paragraph" w:styleId="2">
    <w:name w:val="heading 1"/>
    <w:basedOn w:val="1"/>
    <w:next w:val="1"/>
    <w:link w:val="28"/>
    <w:qFormat/>
    <w:uiPriority w:val="9"/>
    <w:pPr>
      <w:spacing w:line="360" w:lineRule="auto"/>
      <w:jc w:val="center"/>
      <w:outlineLvl w:val="0"/>
    </w:pPr>
    <w:rPr>
      <w:rFonts w:cs="Arial"/>
      <w:b/>
      <w:color w:val="262626"/>
      <w:sz w:val="28"/>
      <w:szCs w:val="24"/>
    </w:rPr>
  </w:style>
  <w:style w:type="paragraph" w:styleId="3">
    <w:name w:val="heading 2"/>
    <w:basedOn w:val="1"/>
    <w:next w:val="1"/>
    <w:link w:val="29"/>
    <w:unhideWhenUsed/>
    <w:qFormat/>
    <w:uiPriority w:val="9"/>
    <w:pPr>
      <w:spacing w:line="240" w:lineRule="auto"/>
      <w:jc w:val="center"/>
      <w:outlineLvl w:val="1"/>
    </w:pPr>
    <w:rPr>
      <w:rFonts w:cs="Arial"/>
      <w:color w:val="262626"/>
      <w:szCs w:val="24"/>
    </w:rPr>
  </w:style>
  <w:style w:type="paragraph" w:styleId="4">
    <w:name w:val="heading 3"/>
    <w:basedOn w:val="1"/>
    <w:next w:val="1"/>
    <w:link w:val="38"/>
    <w:unhideWhenUsed/>
    <w:qFormat/>
    <w:uiPriority w:val="9"/>
    <w:pPr>
      <w:keepNext/>
      <w:keepLines/>
      <w:spacing w:before="200" w:after="0"/>
      <w:outlineLvl w:val="2"/>
    </w:pPr>
    <w:rPr>
      <w:rFonts w:asciiTheme="majorHAnsi" w:hAnsiTheme="majorHAnsi" w:eastAsiaTheme="majorEastAsia" w:cstheme="majorBidi"/>
      <w:b/>
      <w:bCs/>
      <w:color w:val="052F61" w:themeColor="accent1"/>
      <w14:textFill>
        <w14:solidFill>
          <w14:schemeClr w14:val="accent1"/>
        </w14:solidFill>
      </w14:textFill>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26"/>
    <w:semiHidden/>
    <w:unhideWhenUsed/>
    <w:uiPriority w:val="99"/>
    <w:pPr>
      <w:spacing w:after="0" w:line="240" w:lineRule="auto"/>
    </w:pPr>
    <w:rPr>
      <w:rFonts w:ascii="Lucida Grande" w:hAnsi="Lucida Grande" w:cs="Lucida Grande"/>
      <w:sz w:val="18"/>
      <w:szCs w:val="18"/>
    </w:rPr>
  </w:style>
  <w:style w:type="character" w:styleId="8">
    <w:name w:val="annotation reference"/>
    <w:basedOn w:val="5"/>
    <w:semiHidden/>
    <w:unhideWhenUsed/>
    <w:uiPriority w:val="99"/>
    <w:rPr>
      <w:sz w:val="16"/>
      <w:szCs w:val="16"/>
    </w:rPr>
  </w:style>
  <w:style w:type="paragraph" w:styleId="9">
    <w:name w:val="annotation text"/>
    <w:basedOn w:val="1"/>
    <w:link w:val="34"/>
    <w:semiHidden/>
    <w:unhideWhenUsed/>
    <w:uiPriority w:val="99"/>
    <w:pPr>
      <w:spacing w:line="240" w:lineRule="auto"/>
    </w:pPr>
    <w:rPr>
      <w:sz w:val="20"/>
      <w:szCs w:val="20"/>
    </w:rPr>
  </w:style>
  <w:style w:type="paragraph" w:styleId="10">
    <w:name w:val="annotation subject"/>
    <w:basedOn w:val="9"/>
    <w:next w:val="9"/>
    <w:link w:val="35"/>
    <w:semiHidden/>
    <w:unhideWhenUsed/>
    <w:uiPriority w:val="99"/>
    <w:rPr>
      <w:b/>
      <w:bCs/>
    </w:rPr>
  </w:style>
  <w:style w:type="paragraph" w:styleId="11">
    <w:name w:val="footer"/>
    <w:basedOn w:val="1"/>
    <w:link w:val="25"/>
    <w:unhideWhenUsed/>
    <w:uiPriority w:val="99"/>
    <w:pPr>
      <w:tabs>
        <w:tab w:val="center" w:pos="4419"/>
        <w:tab w:val="right" w:pos="8838"/>
      </w:tabs>
      <w:spacing w:after="0" w:line="240" w:lineRule="auto"/>
    </w:pPr>
  </w:style>
  <w:style w:type="character" w:styleId="12">
    <w:name w:val="footnote reference"/>
    <w:basedOn w:val="5"/>
    <w:semiHidden/>
    <w:unhideWhenUsed/>
    <w:uiPriority w:val="99"/>
    <w:rPr>
      <w:vertAlign w:val="superscript"/>
    </w:rPr>
  </w:style>
  <w:style w:type="paragraph" w:styleId="13">
    <w:name w:val="footnote text"/>
    <w:basedOn w:val="1"/>
    <w:link w:val="39"/>
    <w:semiHidden/>
    <w:unhideWhenUsed/>
    <w:uiPriority w:val="99"/>
    <w:pPr>
      <w:spacing w:after="0" w:line="240" w:lineRule="auto"/>
    </w:pPr>
    <w:rPr>
      <w:sz w:val="20"/>
      <w:szCs w:val="20"/>
    </w:rPr>
  </w:style>
  <w:style w:type="paragraph" w:styleId="14">
    <w:name w:val="header"/>
    <w:basedOn w:val="1"/>
    <w:link w:val="24"/>
    <w:unhideWhenUsed/>
    <w:uiPriority w:val="0"/>
    <w:pPr>
      <w:tabs>
        <w:tab w:val="center" w:pos="4419"/>
        <w:tab w:val="right" w:pos="8838"/>
      </w:tabs>
      <w:spacing w:after="0" w:line="240" w:lineRule="auto"/>
    </w:pPr>
  </w:style>
  <w:style w:type="character" w:styleId="15">
    <w:name w:val="Hyperlink"/>
    <w:basedOn w:val="5"/>
    <w:unhideWhenUsed/>
    <w:uiPriority w:val="99"/>
    <w:rPr>
      <w:color w:val="0D2E46" w:themeColor="hyperlink"/>
      <w:u w:val="single"/>
      <w14:textFill>
        <w14:solidFill>
          <w14:schemeClr w14:val="hlink"/>
        </w14:solidFill>
      </w14:textFill>
    </w:rPr>
  </w:style>
  <w:style w:type="paragraph" w:styleId="16">
    <w:name w:val="Normal (Web)"/>
    <w:basedOn w:val="1"/>
    <w:unhideWhenUsed/>
    <w:uiPriority w:val="99"/>
    <w:pPr>
      <w:spacing w:before="100" w:beforeAutospacing="1" w:after="100" w:afterAutospacing="1" w:line="240" w:lineRule="auto"/>
    </w:pPr>
    <w:rPr>
      <w:rFonts w:ascii="Times New Roman" w:hAnsi="Times New Roman" w:eastAsiaTheme="minorEastAsia"/>
      <w:sz w:val="24"/>
      <w:szCs w:val="24"/>
      <w:lang w:eastAsia="es-CO"/>
    </w:rPr>
  </w:style>
  <w:style w:type="character" w:styleId="17">
    <w:name w:val="Strong"/>
    <w:basedOn w:val="5"/>
    <w:qFormat/>
    <w:uiPriority w:val="22"/>
    <w:rPr>
      <w:b/>
      <w:bCs/>
    </w:rPr>
  </w:style>
  <w:style w:type="table" w:styleId="18">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oc 1"/>
    <w:basedOn w:val="1"/>
    <w:next w:val="1"/>
    <w:unhideWhenUsed/>
    <w:uiPriority w:val="39"/>
    <w:pPr>
      <w:spacing w:after="100"/>
    </w:pPr>
  </w:style>
  <w:style w:type="paragraph" w:styleId="20">
    <w:name w:val="toc 2"/>
    <w:basedOn w:val="1"/>
    <w:next w:val="1"/>
    <w:unhideWhenUsed/>
    <w:uiPriority w:val="39"/>
    <w:pPr>
      <w:spacing w:after="100"/>
      <w:ind w:left="220"/>
    </w:pPr>
  </w:style>
  <w:style w:type="paragraph" w:styleId="21">
    <w:name w:val="toc 3"/>
    <w:basedOn w:val="1"/>
    <w:next w:val="1"/>
    <w:unhideWhenUsed/>
    <w:uiPriority w:val="39"/>
    <w:pPr>
      <w:spacing w:after="100"/>
      <w:ind w:left="440"/>
    </w:pPr>
  </w:style>
  <w:style w:type="table" w:styleId="22">
    <w:name w:val="Light Grid Accent 3"/>
    <w:basedOn w:val="6"/>
    <w:uiPriority w:val="62"/>
    <w:tblPr>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tcPr>
    </w:tblStylePr>
  </w:style>
  <w:style w:type="paragraph" w:customStyle="1" w:styleId="23">
    <w:name w:val="Lista multicolor - Énfasis 11"/>
    <w:basedOn w:val="1"/>
    <w:qFormat/>
    <w:uiPriority w:val="34"/>
    <w:pPr>
      <w:ind w:left="720"/>
      <w:contextualSpacing/>
    </w:pPr>
  </w:style>
  <w:style w:type="character" w:customStyle="1" w:styleId="24">
    <w:name w:val="Encabezado Car"/>
    <w:basedOn w:val="5"/>
    <w:link w:val="14"/>
    <w:uiPriority w:val="99"/>
  </w:style>
  <w:style w:type="character" w:customStyle="1" w:styleId="25">
    <w:name w:val="Pie de página Car"/>
    <w:basedOn w:val="5"/>
    <w:link w:val="11"/>
    <w:uiPriority w:val="99"/>
  </w:style>
  <w:style w:type="character" w:customStyle="1" w:styleId="26">
    <w:name w:val="Texto de globo Car"/>
    <w:link w:val="7"/>
    <w:semiHidden/>
    <w:qFormat/>
    <w:uiPriority w:val="99"/>
    <w:rPr>
      <w:rFonts w:ascii="Lucida Grande" w:hAnsi="Lucida Grande" w:cs="Lucida Grande"/>
      <w:sz w:val="18"/>
      <w:szCs w:val="18"/>
    </w:rPr>
  </w:style>
  <w:style w:type="character" w:customStyle="1" w:styleId="27">
    <w:name w:val="Encabezado Car1"/>
    <w:uiPriority w:val="0"/>
    <w:rPr>
      <w:rFonts w:ascii="Calibri" w:hAnsi="Calibri" w:eastAsia="Calibri"/>
      <w:sz w:val="22"/>
      <w:szCs w:val="22"/>
      <w:lang w:eastAsia="ar-SA"/>
    </w:rPr>
  </w:style>
  <w:style w:type="character" w:customStyle="1" w:styleId="28">
    <w:name w:val="Título 1 Car"/>
    <w:link w:val="2"/>
    <w:uiPriority w:val="9"/>
    <w:rPr>
      <w:rFonts w:cs="Arial"/>
      <w:b/>
      <w:color w:val="262626"/>
      <w:sz w:val="28"/>
      <w:szCs w:val="24"/>
      <w:lang w:eastAsia="en-US"/>
    </w:rPr>
  </w:style>
  <w:style w:type="character" w:customStyle="1" w:styleId="29">
    <w:name w:val="Título 2 Car"/>
    <w:link w:val="3"/>
    <w:uiPriority w:val="9"/>
    <w:rPr>
      <w:rFonts w:cs="Arial"/>
      <w:color w:val="262626"/>
      <w:sz w:val="22"/>
      <w:szCs w:val="24"/>
      <w:lang w:eastAsia="en-US"/>
    </w:rPr>
  </w:style>
  <w:style w:type="paragraph" w:styleId="30">
    <w:name w:val="List Paragraph"/>
    <w:basedOn w:val="1"/>
    <w:link w:val="31"/>
    <w:qFormat/>
    <w:uiPriority w:val="34"/>
    <w:pPr>
      <w:ind w:left="720"/>
      <w:contextualSpacing/>
    </w:pPr>
    <w:rPr>
      <w:rFonts w:asciiTheme="minorHAnsi" w:hAnsiTheme="minorHAnsi" w:eastAsiaTheme="minorHAnsi" w:cstheme="minorBidi"/>
    </w:rPr>
  </w:style>
  <w:style w:type="character" w:customStyle="1" w:styleId="31">
    <w:name w:val="Párrafo de lista Car"/>
    <w:link w:val="30"/>
    <w:uiPriority w:val="34"/>
    <w:rPr>
      <w:rFonts w:asciiTheme="minorHAnsi" w:hAnsiTheme="minorHAnsi" w:eastAsiaTheme="minorHAnsi" w:cstheme="minorBidi"/>
      <w:sz w:val="22"/>
      <w:szCs w:val="22"/>
      <w:lang w:eastAsia="en-US"/>
    </w:rPr>
  </w:style>
  <w:style w:type="paragraph" w:customStyle="1" w:styleId="32">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color w:val="042349" w:themeColor="accent1" w:themeShade="BF"/>
      <w:sz w:val="32"/>
      <w:szCs w:val="32"/>
      <w:lang w:eastAsia="es-CO"/>
    </w:rPr>
  </w:style>
  <w:style w:type="table" w:customStyle="1" w:styleId="33">
    <w:name w:val="Tabla de cuadrícula 4 - Énfasis 11"/>
    <w:basedOn w:val="6"/>
    <w:uiPriority w:val="49"/>
    <w:tblPr>
      <w:tblBorders>
        <w:top w:val="single" w:color="167AF2" w:themeColor="accent1" w:themeTint="99" w:sz="4" w:space="0"/>
        <w:left w:val="single" w:color="167AF2" w:themeColor="accent1" w:themeTint="99" w:sz="4" w:space="0"/>
        <w:bottom w:val="single" w:color="167AF2" w:themeColor="accent1" w:themeTint="99" w:sz="4" w:space="0"/>
        <w:right w:val="single" w:color="167AF2" w:themeColor="accent1" w:themeTint="99" w:sz="4" w:space="0"/>
        <w:insideH w:val="single" w:color="167AF2" w:themeColor="accent1" w:themeTint="99" w:sz="4" w:space="0"/>
        <w:insideV w:val="single" w:color="167AF2" w:themeColor="accent1" w:themeTint="99" w:sz="4" w:space="0"/>
      </w:tblBorders>
    </w:tblPr>
    <w:tblStylePr w:type="firstRow">
      <w:rPr>
        <w:b/>
        <w:bCs/>
        <w:color w:val="FFFFFF" w:themeColor="background1"/>
        <w14:textFill>
          <w14:solidFill>
            <w14:schemeClr w14:val="bg1"/>
          </w14:solidFill>
        </w14:textFill>
      </w:r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cPr>
        <w:tcBorders>
          <w:top w:val="double" w:color="052F61" w:themeColor="accent1" w:sz="4" w:space="0"/>
        </w:tcBorders>
      </w:tcPr>
    </w:tblStylePr>
    <w:tblStylePr w:type="firstCol">
      <w:rPr>
        <w:b/>
        <w:bCs/>
      </w:rPr>
    </w:tblStylePr>
    <w:tblStylePr w:type="lastCol">
      <w:rPr>
        <w:b/>
        <w:bCs/>
      </w:rPr>
    </w:tblStylePr>
    <w:tblStylePr w:type="band1Vert">
      <w:tcPr>
        <w:shd w:val="clear" w:color="auto" w:fill="B1D2FA" w:themeFill="accent1" w:themeFillTint="33"/>
      </w:tcPr>
    </w:tblStylePr>
    <w:tblStylePr w:type="band1Horz">
      <w:tcPr>
        <w:shd w:val="clear" w:color="auto" w:fill="B1D2FA" w:themeFill="accent1" w:themeFillTint="33"/>
      </w:tcPr>
    </w:tblStylePr>
  </w:style>
  <w:style w:type="character" w:customStyle="1" w:styleId="34">
    <w:name w:val="Texto comentario Car"/>
    <w:basedOn w:val="5"/>
    <w:link w:val="9"/>
    <w:semiHidden/>
    <w:qFormat/>
    <w:uiPriority w:val="99"/>
    <w:rPr>
      <w:lang w:eastAsia="en-US"/>
    </w:rPr>
  </w:style>
  <w:style w:type="character" w:customStyle="1" w:styleId="35">
    <w:name w:val="Asunto del comentario Car"/>
    <w:basedOn w:val="34"/>
    <w:link w:val="10"/>
    <w:semiHidden/>
    <w:uiPriority w:val="99"/>
    <w:rPr>
      <w:b/>
      <w:bCs/>
      <w:lang w:eastAsia="en-US"/>
    </w:rPr>
  </w:style>
  <w:style w:type="paragraph" w:styleId="36">
    <w:name w:val="No Spacing"/>
    <w:link w:val="37"/>
    <w:qFormat/>
    <w:uiPriority w:val="1"/>
    <w:rPr>
      <w:rFonts w:asciiTheme="minorHAnsi" w:hAnsiTheme="minorHAnsi" w:eastAsiaTheme="minorEastAsia" w:cstheme="minorBidi"/>
      <w:sz w:val="22"/>
      <w:szCs w:val="22"/>
      <w:lang w:val="es-CO" w:eastAsia="es-CO" w:bidi="ar-SA"/>
    </w:rPr>
  </w:style>
  <w:style w:type="character" w:customStyle="1" w:styleId="37">
    <w:name w:val="Sin espaciado Car"/>
    <w:basedOn w:val="5"/>
    <w:link w:val="36"/>
    <w:uiPriority w:val="1"/>
    <w:rPr>
      <w:rFonts w:asciiTheme="minorHAnsi" w:hAnsiTheme="minorHAnsi" w:eastAsiaTheme="minorEastAsia" w:cstheme="minorBidi"/>
      <w:sz w:val="22"/>
      <w:szCs w:val="22"/>
      <w:lang w:eastAsia="es-CO"/>
    </w:rPr>
  </w:style>
  <w:style w:type="character" w:customStyle="1" w:styleId="38">
    <w:name w:val="Título 3 Car"/>
    <w:basedOn w:val="5"/>
    <w:link w:val="4"/>
    <w:uiPriority w:val="9"/>
    <w:rPr>
      <w:rFonts w:asciiTheme="majorHAnsi" w:hAnsiTheme="majorHAnsi" w:eastAsiaTheme="majorEastAsia" w:cstheme="majorBidi"/>
      <w:b/>
      <w:bCs/>
      <w:color w:val="052F61" w:themeColor="accent1"/>
      <w:sz w:val="22"/>
      <w:szCs w:val="22"/>
      <w:lang w:eastAsia="en-US"/>
      <w14:textFill>
        <w14:solidFill>
          <w14:schemeClr w14:val="accent1"/>
        </w14:solidFill>
      </w14:textFill>
    </w:rPr>
  </w:style>
  <w:style w:type="character" w:customStyle="1" w:styleId="39">
    <w:name w:val="Texto nota pie Car"/>
    <w:basedOn w:val="5"/>
    <w:link w:val="13"/>
    <w:semiHidden/>
    <w:uiPriority w:val="99"/>
    <w:rPr>
      <w:lang w:eastAsia="en-US"/>
    </w:rPr>
  </w:style>
  <w:style w:type="paragraph" w:customStyle="1" w:styleId="40">
    <w:name w:val="Default"/>
    <w:uiPriority w:val="0"/>
    <w:pPr>
      <w:autoSpaceDE w:val="0"/>
      <w:autoSpaceDN w:val="0"/>
      <w:adjustRightInd w:val="0"/>
    </w:pPr>
    <w:rPr>
      <w:rFonts w:ascii="Times New Roman" w:hAnsi="Times New Roman" w:eastAsia="Calibri" w:cs="Times New Roman"/>
      <w:color w:val="000000"/>
      <w:sz w:val="24"/>
      <w:szCs w:val="24"/>
      <w:lang w:val="es-CO" w:eastAsia="es-ES" w:bidi="ar-SA"/>
    </w:rPr>
  </w:style>
  <w:style w:type="character" w:customStyle="1" w:styleId="41">
    <w:name w:val="apple-converted-space"/>
    <w:basedOn w:val="5"/>
    <w:uiPriority w:val="0"/>
  </w:style>
  <w:style w:type="paragraph" w:customStyle="1" w:styleId="42">
    <w:name w:val="HTML Top of Form"/>
    <w:basedOn w:val="1"/>
    <w:next w:val="1"/>
    <w:link w:val="43"/>
    <w:semiHidden/>
    <w:unhideWhenUsed/>
    <w:uiPriority w:val="99"/>
    <w:pPr>
      <w:pBdr>
        <w:bottom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3">
    <w:name w:val="z-Principio del formulario Car"/>
    <w:basedOn w:val="5"/>
    <w:link w:val="42"/>
    <w:semiHidden/>
    <w:uiPriority w:val="99"/>
    <w:rPr>
      <w:rFonts w:ascii="Arial" w:hAnsi="Arial" w:eastAsia="Times New Roman" w:cs="Arial"/>
      <w:vanish/>
      <w:sz w:val="16"/>
      <w:szCs w:val="16"/>
      <w:lang w:eastAsia="es-CO"/>
    </w:rPr>
  </w:style>
  <w:style w:type="paragraph" w:customStyle="1" w:styleId="44">
    <w:name w:val="HTML Bottom of Form"/>
    <w:basedOn w:val="1"/>
    <w:next w:val="1"/>
    <w:link w:val="45"/>
    <w:semiHidden/>
    <w:unhideWhenUsed/>
    <w:uiPriority w:val="99"/>
    <w:pPr>
      <w:pBdr>
        <w:top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5">
    <w:name w:val="z-Final del formulario Car"/>
    <w:basedOn w:val="5"/>
    <w:link w:val="44"/>
    <w:semiHidden/>
    <w:qFormat/>
    <w:uiPriority w:val="99"/>
    <w:rPr>
      <w:rFonts w:ascii="Arial" w:hAnsi="Arial" w:eastAsia="Times New Roman" w:cs="Arial"/>
      <w:vanish/>
      <w:sz w:val="16"/>
      <w:szCs w:val="16"/>
      <w:lang w:eastAsia="es-CO"/>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datastoreItem>
</file>

<file path=docProps/app.xml><?xml version="1.0" encoding="utf-8"?>
<Properties xmlns="http://schemas.openxmlformats.org/officeDocument/2006/extended-properties" xmlns:vt="http://schemas.openxmlformats.org/officeDocument/2006/docPropsVTypes">
  <Template>Formato_word-SENA-GC-F-005-V1</Template>
  <Company>Toshiba</Company>
  <Pages>2</Pages>
  <Words>289</Words>
  <Characters>1592</Characters>
  <Lines>13</Lines>
  <Paragraphs>3</Paragraphs>
  <TotalTime>1</TotalTime>
  <ScaleCrop>false</ScaleCrop>
  <LinksUpToDate>false</LinksUpToDate>
  <CharactersWithSpaces>1878</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2023-05-11T23:49:00Z</dcterms:created>
  <dc:creator>ASTRID SUAREZ</dc:creator>
  <cp:lastModifiedBy>Userr</cp:lastModifiedBy>
  <cp:lastPrinted>2016-06-08T15:42:00Z</cp:lastPrinted>
  <dcterms:modified xsi:type="dcterms:W3CDTF">2023-07-15T02:48:51Z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KSOProductBuildVer">
    <vt:lpwstr>1033-11.2.0.11537</vt:lpwstr>
  </property>
  <property fmtid="{D5CDD505-2E9C-101B-9397-08002B2CF9AE}" pid="10" name="ICV">
    <vt:lpwstr>7F6224D4CF5A4513A2286C21667419F5</vt:lpwstr>
  </property>
</Properties>
</file>